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0C313" w14:textId="77777777" w:rsidR="00D607C5" w:rsidRPr="004160D8" w:rsidRDefault="00B216AB" w:rsidP="00D607C5">
      <w:pPr>
        <w:jc w:val="right"/>
        <w:rPr>
          <w:b/>
          <w:bCs/>
          <w:sz w:val="28"/>
          <w:szCs w:val="32"/>
          <w:lang w:val="nl-BE"/>
        </w:rPr>
      </w:pPr>
      <w:bookmarkStart w:id="0" w:name="_GoBack"/>
      <w:bookmarkEnd w:id="0"/>
      <w:r w:rsidRPr="00CA501A">
        <w:rPr>
          <w:b/>
          <w:bCs/>
          <w:sz w:val="28"/>
          <w:szCs w:val="32"/>
          <w:lang w:val="en-US"/>
        </w:rPr>
        <w:t>T.A</w:t>
      </w:r>
      <w:r w:rsidR="003125D1" w:rsidRPr="00CA501A">
        <w:rPr>
          <w:b/>
          <w:bCs/>
          <w:sz w:val="28"/>
          <w:szCs w:val="32"/>
          <w:lang w:val="en-US"/>
        </w:rPr>
        <w:t>.</w:t>
      </w:r>
      <w:r w:rsidRPr="00B216AB">
        <w:rPr>
          <w:b/>
          <w:bCs/>
          <w:sz w:val="28"/>
          <w:szCs w:val="32"/>
          <w:lang w:val="nl-BE"/>
        </w:rPr>
        <w:t xml:space="preserve"> Kalinin</w:t>
      </w:r>
      <w:r w:rsidR="00275691">
        <w:rPr>
          <w:b/>
          <w:bCs/>
          <w:sz w:val="28"/>
          <w:szCs w:val="32"/>
          <w:lang w:val="en-US"/>
        </w:rPr>
        <w:t>a</w:t>
      </w:r>
      <w:r w:rsidRPr="00B216AB">
        <w:rPr>
          <w:b/>
          <w:bCs/>
          <w:sz w:val="28"/>
          <w:szCs w:val="32"/>
          <w:lang w:val="nl-BE"/>
        </w:rPr>
        <w:t xml:space="preserve">, </w:t>
      </w:r>
      <w:r w:rsidR="003125D1" w:rsidRPr="00CA501A">
        <w:rPr>
          <w:b/>
          <w:bCs/>
          <w:sz w:val="28"/>
          <w:szCs w:val="32"/>
          <w:lang w:val="en-US"/>
        </w:rPr>
        <w:t>A.A.</w:t>
      </w:r>
      <w:r w:rsidRPr="00B216AB">
        <w:rPr>
          <w:b/>
          <w:bCs/>
          <w:sz w:val="28"/>
          <w:szCs w:val="32"/>
          <w:lang w:val="nl-BE"/>
        </w:rPr>
        <w:t xml:space="preserve"> </w:t>
      </w:r>
      <w:r w:rsidR="00275691">
        <w:rPr>
          <w:b/>
          <w:bCs/>
          <w:sz w:val="28"/>
          <w:szCs w:val="32"/>
          <w:lang w:val="nl-BE"/>
        </w:rPr>
        <w:t>Vysokova</w:t>
      </w:r>
      <w:r w:rsidRPr="00CA501A">
        <w:rPr>
          <w:b/>
          <w:bCs/>
          <w:sz w:val="28"/>
          <w:szCs w:val="32"/>
          <w:vertAlign w:val="superscript"/>
          <w:lang w:val="en-US"/>
        </w:rPr>
        <w:t xml:space="preserve"> </w:t>
      </w:r>
      <w:r w:rsidR="00D607C5" w:rsidRPr="00CA501A">
        <w:rPr>
          <w:b/>
          <w:bCs/>
          <w:sz w:val="28"/>
          <w:szCs w:val="32"/>
          <w:vertAlign w:val="superscript"/>
          <w:lang w:val="en-US"/>
        </w:rPr>
        <w:t>1</w:t>
      </w:r>
      <w:r w:rsidR="00D607C5" w:rsidRPr="004160D8">
        <w:rPr>
          <w:b/>
          <w:bCs/>
          <w:sz w:val="28"/>
          <w:szCs w:val="32"/>
          <w:lang w:val="nl-BE"/>
        </w:rPr>
        <w:t xml:space="preserve">, </w:t>
      </w:r>
    </w:p>
    <w:p w14:paraId="78388864" w14:textId="77777777" w:rsidR="00D607C5" w:rsidRPr="004160D8" w:rsidRDefault="003125D1" w:rsidP="00D607C5">
      <w:pPr>
        <w:jc w:val="right"/>
        <w:rPr>
          <w:b/>
          <w:bCs/>
          <w:sz w:val="28"/>
          <w:szCs w:val="32"/>
          <w:lang w:val="nl-BE"/>
        </w:rPr>
      </w:pPr>
      <w:proofErr w:type="spellStart"/>
      <w:r w:rsidRPr="00CA501A">
        <w:rPr>
          <w:b/>
          <w:sz w:val="28"/>
          <w:szCs w:val="32"/>
          <w:lang w:val="en-US"/>
        </w:rPr>
        <w:t>Lukyanina</w:t>
      </w:r>
      <w:proofErr w:type="spellEnd"/>
      <w:r w:rsidRPr="00CA501A">
        <w:rPr>
          <w:b/>
          <w:sz w:val="28"/>
          <w:szCs w:val="32"/>
          <w:lang w:val="en-US"/>
        </w:rPr>
        <w:t xml:space="preserve"> N.V.</w:t>
      </w:r>
      <w:r w:rsidRPr="00275691">
        <w:rPr>
          <w:b/>
          <w:sz w:val="28"/>
          <w:szCs w:val="32"/>
          <w:vertAlign w:val="superscript"/>
          <w:lang w:val="en-US"/>
        </w:rPr>
        <w:t>1</w:t>
      </w:r>
      <w:r w:rsidRPr="00CA501A">
        <w:rPr>
          <w:b/>
          <w:sz w:val="28"/>
          <w:szCs w:val="32"/>
          <w:lang w:val="en-US"/>
        </w:rPr>
        <w:t xml:space="preserve">, </w:t>
      </w:r>
      <w:r w:rsidR="00C5252E" w:rsidRPr="000C3E9F">
        <w:rPr>
          <w:b/>
          <w:sz w:val="28"/>
          <w:szCs w:val="32"/>
          <w:lang w:val="en-US"/>
        </w:rPr>
        <w:t>Z</w:t>
      </w:r>
      <w:r w:rsidRPr="000C3E9F">
        <w:rPr>
          <w:b/>
          <w:sz w:val="28"/>
          <w:szCs w:val="32"/>
          <w:lang w:val="en-US"/>
        </w:rPr>
        <w:t>.-</w:t>
      </w:r>
      <w:r w:rsidR="00C5252E" w:rsidRPr="000C3E9F">
        <w:rPr>
          <w:b/>
          <w:sz w:val="28"/>
          <w:szCs w:val="32"/>
          <w:lang w:val="en-US"/>
        </w:rPr>
        <w:t>J</w:t>
      </w:r>
      <w:r w:rsidRPr="000C3E9F">
        <w:rPr>
          <w:b/>
          <w:sz w:val="28"/>
          <w:szCs w:val="32"/>
          <w:lang w:val="en-US"/>
        </w:rPr>
        <w:t>.</w:t>
      </w:r>
      <w:r w:rsidRPr="00CA501A">
        <w:rPr>
          <w:b/>
          <w:sz w:val="28"/>
          <w:szCs w:val="32"/>
          <w:lang w:val="en-US"/>
        </w:rPr>
        <w:t xml:space="preserve"> Fan</w:t>
      </w:r>
      <w:r w:rsidRPr="00CA501A">
        <w:rPr>
          <w:b/>
          <w:bCs/>
          <w:sz w:val="28"/>
          <w:szCs w:val="32"/>
          <w:vertAlign w:val="superscript"/>
          <w:lang w:val="en-US"/>
        </w:rPr>
        <w:t xml:space="preserve"> </w:t>
      </w:r>
      <w:r w:rsidR="00D607C5" w:rsidRPr="00CA501A">
        <w:rPr>
          <w:b/>
          <w:bCs/>
          <w:sz w:val="28"/>
          <w:szCs w:val="32"/>
          <w:vertAlign w:val="superscript"/>
          <w:lang w:val="en-US"/>
        </w:rPr>
        <w:t>3</w:t>
      </w:r>
      <w:r w:rsidR="00D607C5" w:rsidRPr="004160D8">
        <w:rPr>
          <w:b/>
          <w:bCs/>
          <w:sz w:val="28"/>
          <w:szCs w:val="32"/>
          <w:lang w:val="nl-BE"/>
        </w:rPr>
        <w:t>,</w:t>
      </w:r>
    </w:p>
    <w:p w14:paraId="2BD55206" w14:textId="77777777" w:rsidR="00D607C5" w:rsidRPr="004160D8" w:rsidRDefault="009D404D" w:rsidP="00D607C5">
      <w:pPr>
        <w:jc w:val="right"/>
        <w:rPr>
          <w:b/>
          <w:bCs/>
          <w:sz w:val="28"/>
          <w:szCs w:val="32"/>
          <w:lang w:val="nl-BE"/>
        </w:rPr>
      </w:pPr>
      <w:r w:rsidRPr="009D404D">
        <w:rPr>
          <w:b/>
          <w:bCs/>
          <w:sz w:val="28"/>
          <w:szCs w:val="32"/>
          <w:lang w:val="nl-BE"/>
        </w:rPr>
        <w:t>T</w:t>
      </w:r>
      <w:r w:rsidR="00275691">
        <w:rPr>
          <w:b/>
          <w:bCs/>
          <w:sz w:val="28"/>
          <w:szCs w:val="32"/>
          <w:lang w:val="nl-BE"/>
        </w:rPr>
        <w:t xml:space="preserve">.V. </w:t>
      </w:r>
      <w:r w:rsidRPr="009D404D">
        <w:rPr>
          <w:b/>
          <w:bCs/>
          <w:sz w:val="28"/>
          <w:szCs w:val="32"/>
          <w:lang w:val="nl-BE"/>
        </w:rPr>
        <w:t>Gl</w:t>
      </w:r>
      <w:r w:rsidR="00275691">
        <w:rPr>
          <w:b/>
          <w:bCs/>
          <w:sz w:val="28"/>
          <w:szCs w:val="32"/>
          <w:lang w:val="nl-BE"/>
        </w:rPr>
        <w:t>uha</w:t>
      </w:r>
      <w:r w:rsidRPr="009D404D">
        <w:rPr>
          <w:b/>
          <w:bCs/>
          <w:sz w:val="28"/>
          <w:szCs w:val="32"/>
          <w:lang w:val="nl-BE"/>
        </w:rPr>
        <w:t>r</w:t>
      </w:r>
      <w:r w:rsidR="00275691">
        <w:rPr>
          <w:b/>
          <w:bCs/>
          <w:sz w:val="28"/>
          <w:szCs w:val="32"/>
          <w:lang w:val="nl-BE"/>
        </w:rPr>
        <w:t>e</w:t>
      </w:r>
      <w:r w:rsidRPr="009D404D">
        <w:rPr>
          <w:b/>
          <w:bCs/>
          <w:sz w:val="28"/>
          <w:szCs w:val="32"/>
          <w:lang w:val="nl-BE"/>
        </w:rPr>
        <w:t>va</w:t>
      </w:r>
      <w:r w:rsidRPr="00275691">
        <w:rPr>
          <w:b/>
          <w:bCs/>
          <w:sz w:val="28"/>
          <w:szCs w:val="32"/>
          <w:vertAlign w:val="superscript"/>
          <w:lang w:val="en-US"/>
        </w:rPr>
        <w:t xml:space="preserve"> </w:t>
      </w:r>
      <w:r w:rsidR="00D607C5" w:rsidRPr="00275691">
        <w:rPr>
          <w:b/>
          <w:bCs/>
          <w:sz w:val="28"/>
          <w:szCs w:val="32"/>
          <w:vertAlign w:val="superscript"/>
          <w:lang w:val="en-US"/>
        </w:rPr>
        <w:t>1</w:t>
      </w:r>
      <w:r w:rsidR="00E159CA" w:rsidRPr="00275691">
        <w:rPr>
          <w:b/>
          <w:bCs/>
          <w:sz w:val="28"/>
          <w:szCs w:val="32"/>
          <w:vertAlign w:val="superscript"/>
          <w:lang w:val="en-US"/>
        </w:rPr>
        <w:t>,2</w:t>
      </w:r>
    </w:p>
    <w:p w14:paraId="31B88706" w14:textId="77777777" w:rsidR="00D607C5" w:rsidRPr="00275691" w:rsidRDefault="00D607C5" w:rsidP="00D607C5">
      <w:pPr>
        <w:jc w:val="center"/>
        <w:rPr>
          <w:b/>
          <w:noProof/>
          <w:sz w:val="28"/>
          <w:szCs w:val="32"/>
          <w:lang w:val="en-US"/>
        </w:rPr>
      </w:pPr>
    </w:p>
    <w:p w14:paraId="0F20B8AA" w14:textId="77777777" w:rsidR="00D607C5" w:rsidRPr="00710F9A" w:rsidRDefault="00D607C5" w:rsidP="00710F9A">
      <w:pPr>
        <w:jc w:val="right"/>
        <w:rPr>
          <w:i/>
          <w:iCs/>
          <w:sz w:val="28"/>
          <w:szCs w:val="32"/>
          <w:lang w:val="en-US"/>
        </w:rPr>
      </w:pPr>
      <w:r w:rsidRPr="00710F9A">
        <w:rPr>
          <w:bCs/>
          <w:i/>
          <w:iCs/>
          <w:sz w:val="28"/>
          <w:szCs w:val="32"/>
          <w:vertAlign w:val="superscript"/>
          <w:lang w:val="en-US"/>
        </w:rPr>
        <w:t>1</w:t>
      </w:r>
      <w:r w:rsidR="00710F9A" w:rsidRPr="00710F9A">
        <w:rPr>
          <w:i/>
          <w:iCs/>
          <w:sz w:val="28"/>
          <w:szCs w:val="32"/>
          <w:lang w:val="en-US"/>
        </w:rPr>
        <w:t xml:space="preserve">Ural Federal University, </w:t>
      </w:r>
      <w:r w:rsidR="00710F9A">
        <w:rPr>
          <w:i/>
          <w:iCs/>
          <w:sz w:val="28"/>
          <w:szCs w:val="32"/>
          <w:lang w:val="en-US"/>
        </w:rPr>
        <w:t>28</w:t>
      </w:r>
      <w:r w:rsidR="00710F9A" w:rsidRPr="00710F9A">
        <w:rPr>
          <w:i/>
          <w:iCs/>
          <w:sz w:val="28"/>
          <w:szCs w:val="32"/>
          <w:lang w:val="en-US"/>
        </w:rPr>
        <w:t xml:space="preserve"> Mira St., </w:t>
      </w:r>
      <w:r w:rsidR="00275691">
        <w:rPr>
          <w:i/>
          <w:iCs/>
          <w:sz w:val="28"/>
          <w:szCs w:val="32"/>
          <w:lang w:val="en-US"/>
        </w:rPr>
        <w:t xml:space="preserve">Russia, </w:t>
      </w:r>
      <w:r w:rsidR="00710F9A" w:rsidRPr="00710F9A">
        <w:rPr>
          <w:i/>
          <w:iCs/>
          <w:sz w:val="28"/>
          <w:szCs w:val="32"/>
          <w:lang w:val="en-US"/>
        </w:rPr>
        <w:t>Yekaterinburg, 6200</w:t>
      </w:r>
      <w:r w:rsidR="00710F9A">
        <w:rPr>
          <w:i/>
          <w:iCs/>
          <w:sz w:val="28"/>
          <w:szCs w:val="32"/>
          <w:lang w:val="en-US"/>
        </w:rPr>
        <w:t>78,</w:t>
      </w:r>
    </w:p>
    <w:p w14:paraId="7559102C" w14:textId="77777777" w:rsidR="00D607C5" w:rsidRPr="00710F9A" w:rsidRDefault="00D607C5" w:rsidP="00D607C5">
      <w:pPr>
        <w:jc w:val="right"/>
        <w:rPr>
          <w:i/>
          <w:iCs/>
          <w:sz w:val="28"/>
          <w:szCs w:val="32"/>
          <w:lang w:val="en-US"/>
        </w:rPr>
      </w:pPr>
      <w:r w:rsidRPr="00710F9A">
        <w:rPr>
          <w:i/>
          <w:iCs/>
          <w:sz w:val="28"/>
          <w:szCs w:val="32"/>
          <w:lang w:val="en-US"/>
        </w:rPr>
        <w:t>t.v.glukhareva@urfu.ru,</w:t>
      </w:r>
    </w:p>
    <w:p w14:paraId="74CE4D96" w14:textId="77777777" w:rsidR="00C51017" w:rsidRPr="00710F9A" w:rsidRDefault="00C51017" w:rsidP="00C51017">
      <w:pPr>
        <w:jc w:val="right"/>
        <w:rPr>
          <w:i/>
          <w:iCs/>
          <w:sz w:val="28"/>
          <w:szCs w:val="32"/>
          <w:lang w:val="en-US"/>
        </w:rPr>
      </w:pPr>
      <w:r w:rsidRPr="00710F9A">
        <w:rPr>
          <w:bCs/>
          <w:i/>
          <w:iCs/>
          <w:sz w:val="28"/>
          <w:szCs w:val="32"/>
          <w:vertAlign w:val="superscript"/>
          <w:lang w:val="en-US"/>
        </w:rPr>
        <w:t>2</w:t>
      </w:r>
      <w:r w:rsidR="00710F9A" w:rsidRPr="00710F9A">
        <w:rPr>
          <w:i/>
          <w:iCs/>
          <w:sz w:val="28"/>
          <w:szCs w:val="32"/>
          <w:lang w:val="en-US"/>
        </w:rPr>
        <w:t>Ural Branch of Russian Academy of Sciences</w:t>
      </w:r>
    </w:p>
    <w:p w14:paraId="29835906" w14:textId="77777777" w:rsidR="00C51017" w:rsidRPr="00710F9A" w:rsidRDefault="00710F9A" w:rsidP="00710F9A">
      <w:pPr>
        <w:jc w:val="right"/>
        <w:rPr>
          <w:i/>
          <w:iCs/>
          <w:sz w:val="28"/>
          <w:szCs w:val="32"/>
          <w:lang w:val="en-US"/>
        </w:rPr>
      </w:pPr>
      <w:proofErr w:type="spellStart"/>
      <w:r w:rsidRPr="00710F9A">
        <w:rPr>
          <w:i/>
          <w:iCs/>
          <w:sz w:val="28"/>
          <w:szCs w:val="32"/>
          <w:lang w:val="en-US"/>
        </w:rPr>
        <w:t>I.Ya</w:t>
      </w:r>
      <w:proofErr w:type="spellEnd"/>
      <w:r w:rsidRPr="00710F9A">
        <w:rPr>
          <w:i/>
          <w:iCs/>
          <w:sz w:val="28"/>
          <w:szCs w:val="32"/>
          <w:lang w:val="en-US"/>
        </w:rPr>
        <w:t xml:space="preserve">. </w:t>
      </w:r>
      <w:proofErr w:type="spellStart"/>
      <w:r w:rsidRPr="00710F9A">
        <w:rPr>
          <w:i/>
          <w:iCs/>
          <w:sz w:val="28"/>
          <w:szCs w:val="32"/>
          <w:lang w:val="en-US"/>
        </w:rPr>
        <w:t>Postovsky</w:t>
      </w:r>
      <w:proofErr w:type="spellEnd"/>
      <w:r w:rsidRPr="00710F9A">
        <w:rPr>
          <w:i/>
          <w:iCs/>
          <w:sz w:val="28"/>
          <w:szCs w:val="32"/>
          <w:lang w:val="en-US"/>
        </w:rPr>
        <w:t xml:space="preserve"> Institute of Organic Synthesis</w:t>
      </w:r>
      <w:r w:rsidR="00C51017" w:rsidRPr="00710F9A">
        <w:rPr>
          <w:i/>
          <w:iCs/>
          <w:sz w:val="28"/>
          <w:szCs w:val="32"/>
          <w:lang w:val="en-US"/>
        </w:rPr>
        <w:t>,</w:t>
      </w:r>
      <w:r w:rsidRPr="00710F9A">
        <w:rPr>
          <w:i/>
          <w:iCs/>
          <w:sz w:val="28"/>
          <w:szCs w:val="32"/>
          <w:lang w:val="en-US"/>
        </w:rPr>
        <w:t xml:space="preserve"> 22 S. </w:t>
      </w:r>
      <w:proofErr w:type="spellStart"/>
      <w:r w:rsidRPr="00710F9A">
        <w:rPr>
          <w:i/>
          <w:iCs/>
          <w:sz w:val="28"/>
          <w:szCs w:val="32"/>
          <w:lang w:val="en-US"/>
        </w:rPr>
        <w:t>Kovalevskoi</w:t>
      </w:r>
      <w:proofErr w:type="spellEnd"/>
      <w:r w:rsidRPr="00710F9A">
        <w:rPr>
          <w:i/>
          <w:iCs/>
          <w:sz w:val="28"/>
          <w:szCs w:val="32"/>
          <w:lang w:val="en-US"/>
        </w:rPr>
        <w:t xml:space="preserve"> St., </w:t>
      </w:r>
      <w:r w:rsidR="00275691">
        <w:rPr>
          <w:i/>
          <w:iCs/>
          <w:sz w:val="28"/>
          <w:szCs w:val="32"/>
          <w:lang w:val="en-US"/>
        </w:rPr>
        <w:t xml:space="preserve">Russia, </w:t>
      </w:r>
      <w:r w:rsidRPr="00710F9A">
        <w:rPr>
          <w:i/>
          <w:iCs/>
          <w:sz w:val="28"/>
          <w:szCs w:val="32"/>
          <w:lang w:val="en-US"/>
        </w:rPr>
        <w:t>Yekaterinburg, 620137</w:t>
      </w:r>
    </w:p>
    <w:p w14:paraId="2EFAF374" w14:textId="77777777" w:rsidR="00D607C5" w:rsidRPr="00710F9A" w:rsidRDefault="00C51017" w:rsidP="00D607C5">
      <w:pPr>
        <w:jc w:val="right"/>
        <w:rPr>
          <w:i/>
          <w:iCs/>
          <w:sz w:val="28"/>
          <w:szCs w:val="32"/>
          <w:lang w:val="en-US"/>
        </w:rPr>
      </w:pPr>
      <w:r w:rsidRPr="00710F9A">
        <w:rPr>
          <w:bCs/>
          <w:i/>
          <w:iCs/>
          <w:sz w:val="28"/>
          <w:szCs w:val="32"/>
          <w:vertAlign w:val="superscript"/>
          <w:lang w:val="en-US"/>
        </w:rPr>
        <w:t>3</w:t>
      </w:r>
      <w:r w:rsidR="00710F9A" w:rsidRPr="00710F9A">
        <w:rPr>
          <w:i/>
          <w:iCs/>
          <w:sz w:val="28"/>
          <w:szCs w:val="32"/>
          <w:lang w:val="en-US"/>
        </w:rPr>
        <w:t xml:space="preserve">State Laboratory of </w:t>
      </w:r>
      <w:proofErr w:type="spellStart"/>
      <w:r w:rsidR="00710F9A" w:rsidRPr="00710F9A">
        <w:rPr>
          <w:i/>
          <w:iCs/>
          <w:sz w:val="28"/>
          <w:szCs w:val="32"/>
          <w:lang w:val="en-US"/>
        </w:rPr>
        <w:t>Organoelemental</w:t>
      </w:r>
      <w:proofErr w:type="spellEnd"/>
      <w:r w:rsidR="00710F9A" w:rsidRPr="00710F9A">
        <w:rPr>
          <w:i/>
          <w:iCs/>
          <w:sz w:val="28"/>
          <w:szCs w:val="32"/>
          <w:lang w:val="en-US"/>
        </w:rPr>
        <w:t xml:space="preserve"> Chemistry</w:t>
      </w:r>
      <w:r w:rsidR="00D607C5" w:rsidRPr="00710F9A">
        <w:rPr>
          <w:i/>
          <w:iCs/>
          <w:sz w:val="28"/>
          <w:szCs w:val="32"/>
          <w:lang w:val="en-US"/>
        </w:rPr>
        <w:t>,</w:t>
      </w:r>
    </w:p>
    <w:p w14:paraId="6C5A6C6D" w14:textId="77777777" w:rsidR="00D607C5" w:rsidRPr="00710F9A" w:rsidRDefault="00710F9A" w:rsidP="00D607C5">
      <w:pPr>
        <w:jc w:val="right"/>
        <w:rPr>
          <w:i/>
          <w:sz w:val="28"/>
          <w:szCs w:val="32"/>
          <w:lang w:val="en-US"/>
        </w:rPr>
      </w:pPr>
      <w:r w:rsidRPr="00710F9A">
        <w:rPr>
          <w:i/>
          <w:sz w:val="28"/>
          <w:szCs w:val="32"/>
          <w:lang w:val="en-US"/>
        </w:rPr>
        <w:t>Nankai University</w:t>
      </w:r>
      <w:r w:rsidR="00D607C5" w:rsidRPr="00710F9A">
        <w:rPr>
          <w:i/>
          <w:sz w:val="28"/>
          <w:szCs w:val="32"/>
          <w:lang w:val="en-US"/>
        </w:rPr>
        <w:t>,</w:t>
      </w:r>
    </w:p>
    <w:p w14:paraId="63FE6FC8" w14:textId="77777777" w:rsidR="00D607C5" w:rsidRPr="00E46535" w:rsidRDefault="00D607C5" w:rsidP="00D607C5">
      <w:pPr>
        <w:jc w:val="right"/>
        <w:rPr>
          <w:i/>
          <w:sz w:val="28"/>
          <w:szCs w:val="32"/>
          <w:lang w:val="en-US"/>
        </w:rPr>
      </w:pPr>
      <w:r w:rsidRPr="00710F9A">
        <w:rPr>
          <w:i/>
          <w:sz w:val="28"/>
          <w:szCs w:val="32"/>
          <w:lang w:val="en-US"/>
        </w:rPr>
        <w:t xml:space="preserve">300071, </w:t>
      </w:r>
      <w:r w:rsidR="00710F9A">
        <w:rPr>
          <w:i/>
          <w:sz w:val="28"/>
          <w:szCs w:val="32"/>
          <w:lang w:val="en-US"/>
        </w:rPr>
        <w:t>China</w:t>
      </w:r>
      <w:r w:rsidRPr="00710F9A">
        <w:rPr>
          <w:i/>
          <w:sz w:val="28"/>
          <w:szCs w:val="32"/>
          <w:lang w:val="en-US"/>
        </w:rPr>
        <w:t xml:space="preserve">, </w:t>
      </w:r>
      <w:r w:rsidR="00275691" w:rsidRPr="00E46535">
        <w:rPr>
          <w:i/>
          <w:sz w:val="28"/>
          <w:szCs w:val="32"/>
          <w:lang w:val="en-US"/>
        </w:rPr>
        <w:t>Tianjin</w:t>
      </w:r>
      <w:r w:rsidRPr="00710F9A">
        <w:rPr>
          <w:i/>
          <w:sz w:val="28"/>
          <w:szCs w:val="32"/>
          <w:lang w:val="en-US"/>
        </w:rPr>
        <w:t xml:space="preserve">, </w:t>
      </w:r>
      <w:r w:rsidR="00275691">
        <w:rPr>
          <w:i/>
          <w:sz w:val="28"/>
          <w:szCs w:val="32"/>
          <w:lang w:val="en-US"/>
        </w:rPr>
        <w:t>St</w:t>
      </w:r>
      <w:r w:rsidRPr="00710F9A">
        <w:rPr>
          <w:i/>
          <w:sz w:val="28"/>
          <w:szCs w:val="32"/>
          <w:lang w:val="en-US"/>
        </w:rPr>
        <w:t xml:space="preserve">. </w:t>
      </w:r>
      <w:proofErr w:type="spellStart"/>
      <w:r w:rsidR="00275691">
        <w:rPr>
          <w:i/>
          <w:sz w:val="28"/>
          <w:szCs w:val="32"/>
          <w:lang w:val="en-US"/>
        </w:rPr>
        <w:t>Veyjin</w:t>
      </w:r>
      <w:proofErr w:type="spellEnd"/>
      <w:r w:rsidRPr="00E46535">
        <w:rPr>
          <w:i/>
          <w:sz w:val="28"/>
          <w:szCs w:val="32"/>
          <w:lang w:val="en-US"/>
        </w:rPr>
        <w:t>, 94,</w:t>
      </w:r>
    </w:p>
    <w:p w14:paraId="331331EF" w14:textId="77777777" w:rsidR="00D607C5" w:rsidRPr="00CA501A" w:rsidRDefault="00D607C5" w:rsidP="00D607C5">
      <w:pPr>
        <w:jc w:val="right"/>
        <w:rPr>
          <w:i/>
          <w:sz w:val="28"/>
          <w:szCs w:val="32"/>
          <w:lang w:val="en-US"/>
        </w:rPr>
      </w:pPr>
      <w:r w:rsidRPr="00CA501A">
        <w:rPr>
          <w:i/>
          <w:sz w:val="28"/>
          <w:szCs w:val="32"/>
          <w:lang w:val="en-US"/>
        </w:rPr>
        <w:t>zjfan@nankai.cn</w:t>
      </w:r>
    </w:p>
    <w:p w14:paraId="026F7558" w14:textId="77777777" w:rsidR="00D607C5" w:rsidRPr="004160D8" w:rsidRDefault="00D607C5" w:rsidP="00D607C5">
      <w:pPr>
        <w:jc w:val="right"/>
        <w:rPr>
          <w:sz w:val="22"/>
          <w:lang w:val="fr-FR"/>
        </w:rPr>
      </w:pPr>
    </w:p>
    <w:p w14:paraId="08F56A71" w14:textId="77777777" w:rsidR="00D607C5" w:rsidRPr="000C3E9F" w:rsidRDefault="00C5252E" w:rsidP="00D607C5">
      <w:pPr>
        <w:jc w:val="center"/>
        <w:rPr>
          <w:b/>
          <w:sz w:val="28"/>
          <w:szCs w:val="32"/>
          <w:lang w:val="en-US"/>
        </w:rPr>
      </w:pPr>
      <w:r w:rsidRPr="000C3E9F">
        <w:rPr>
          <w:b/>
          <w:caps/>
          <w:sz w:val="28"/>
          <w:szCs w:val="32"/>
          <w:lang w:val="en-US"/>
        </w:rPr>
        <w:t xml:space="preserve">study </w:t>
      </w:r>
      <w:r w:rsidR="00DB5DB8" w:rsidRPr="000C3E9F">
        <w:rPr>
          <w:b/>
          <w:caps/>
          <w:sz w:val="28"/>
          <w:szCs w:val="32"/>
          <w:lang w:val="en-US"/>
        </w:rPr>
        <w:t>of 1,2,3-selenodiazolyl-4-Urea</w:t>
      </w:r>
      <w:r w:rsidR="00DB5DB8" w:rsidRPr="000C3E9F">
        <w:rPr>
          <w:b/>
          <w:sz w:val="28"/>
          <w:szCs w:val="32"/>
          <w:lang w:val="en-US"/>
        </w:rPr>
        <w:t>S</w:t>
      </w:r>
      <w:r w:rsidR="00DB5DB8" w:rsidRPr="000C3E9F">
        <w:rPr>
          <w:b/>
          <w:caps/>
          <w:sz w:val="28"/>
          <w:szCs w:val="32"/>
          <w:lang w:val="en-US"/>
        </w:rPr>
        <w:t xml:space="preserve"> as plant </w:t>
      </w:r>
      <w:r w:rsidR="008A451A" w:rsidRPr="000C3E9F">
        <w:rPr>
          <w:b/>
          <w:caps/>
          <w:sz w:val="28"/>
          <w:szCs w:val="32"/>
          <w:lang w:val="en-US"/>
        </w:rPr>
        <w:t xml:space="preserve">systemic resistance </w:t>
      </w:r>
      <w:r w:rsidR="00DB5DB8" w:rsidRPr="000C3E9F">
        <w:rPr>
          <w:b/>
          <w:caps/>
          <w:sz w:val="28"/>
          <w:szCs w:val="32"/>
          <w:lang w:val="en-US"/>
        </w:rPr>
        <w:t>inductors</w:t>
      </w:r>
      <w:r w:rsidR="008A451A" w:rsidRPr="000C3E9F">
        <w:rPr>
          <w:b/>
          <w:caps/>
          <w:sz w:val="28"/>
          <w:szCs w:val="32"/>
          <w:lang w:val="en-US"/>
        </w:rPr>
        <w:t xml:space="preserve"> </w:t>
      </w:r>
      <w:r w:rsidR="00D607C5" w:rsidRPr="000C3E9F">
        <w:rPr>
          <w:b/>
          <w:sz w:val="28"/>
          <w:szCs w:val="32"/>
          <w:lang w:val="en-US"/>
        </w:rPr>
        <w:t>*</w:t>
      </w:r>
    </w:p>
    <w:p w14:paraId="4A0130BE" w14:textId="77777777" w:rsidR="00D607C5" w:rsidRPr="000C3E9F" w:rsidRDefault="00D607C5" w:rsidP="00D607C5">
      <w:pPr>
        <w:ind w:firstLine="709"/>
        <w:jc w:val="both"/>
        <w:rPr>
          <w:b/>
          <w:sz w:val="28"/>
          <w:szCs w:val="32"/>
          <w:lang w:val="en-US"/>
        </w:rPr>
      </w:pPr>
    </w:p>
    <w:p w14:paraId="2AB7C2A1" w14:textId="77777777" w:rsidR="00D607C5" w:rsidRPr="000C3E9F" w:rsidRDefault="0052419F" w:rsidP="00D607C5">
      <w:pPr>
        <w:ind w:firstLine="709"/>
        <w:jc w:val="both"/>
        <w:rPr>
          <w:sz w:val="28"/>
          <w:szCs w:val="32"/>
          <w:lang w:val="en-US"/>
        </w:rPr>
      </w:pPr>
      <w:r w:rsidRPr="000C3E9F">
        <w:rPr>
          <w:b/>
          <w:sz w:val="28"/>
          <w:szCs w:val="32"/>
          <w:lang w:val="en-US"/>
        </w:rPr>
        <w:t>Keywords:</w:t>
      </w:r>
      <w:r w:rsidR="00D607C5" w:rsidRPr="000C3E9F">
        <w:rPr>
          <w:sz w:val="28"/>
          <w:szCs w:val="32"/>
          <w:lang w:val="en-US"/>
        </w:rPr>
        <w:t xml:space="preserve"> </w:t>
      </w:r>
      <w:r w:rsidR="004E52BD" w:rsidRPr="000C3E9F">
        <w:rPr>
          <w:sz w:val="28"/>
          <w:szCs w:val="32"/>
          <w:lang w:val="en-US"/>
        </w:rPr>
        <w:t>e</w:t>
      </w:r>
      <w:r w:rsidR="00F26242" w:rsidRPr="000C3E9F">
        <w:rPr>
          <w:sz w:val="28"/>
          <w:szCs w:val="32"/>
          <w:lang w:val="en-US"/>
        </w:rPr>
        <w:t>li</w:t>
      </w:r>
      <w:r w:rsidR="00DB5DB8" w:rsidRPr="000C3E9F">
        <w:rPr>
          <w:sz w:val="28"/>
          <w:szCs w:val="32"/>
          <w:lang w:val="en-US"/>
        </w:rPr>
        <w:t>ci</w:t>
      </w:r>
      <w:r w:rsidR="00F26242" w:rsidRPr="000C3E9F">
        <w:rPr>
          <w:sz w:val="28"/>
          <w:szCs w:val="32"/>
          <w:lang w:val="en-US"/>
        </w:rPr>
        <w:t>t</w:t>
      </w:r>
      <w:r w:rsidR="00DB5DB8" w:rsidRPr="000C3E9F">
        <w:rPr>
          <w:sz w:val="28"/>
          <w:szCs w:val="32"/>
          <w:lang w:val="en-US"/>
        </w:rPr>
        <w:t>o</w:t>
      </w:r>
      <w:r w:rsidR="00F26242" w:rsidRPr="000C3E9F">
        <w:rPr>
          <w:sz w:val="28"/>
          <w:szCs w:val="32"/>
          <w:lang w:val="en-US"/>
        </w:rPr>
        <w:t xml:space="preserve">rs, systemic acquired </w:t>
      </w:r>
      <w:r w:rsidR="00DB5DB8" w:rsidRPr="000C3E9F">
        <w:rPr>
          <w:sz w:val="28"/>
          <w:szCs w:val="32"/>
          <w:lang w:val="en-US"/>
        </w:rPr>
        <w:t>resistance</w:t>
      </w:r>
      <w:r w:rsidR="00F26242" w:rsidRPr="000C3E9F">
        <w:rPr>
          <w:sz w:val="28"/>
          <w:szCs w:val="32"/>
          <w:lang w:val="en-US"/>
        </w:rPr>
        <w:t xml:space="preserve">, inductors of </w:t>
      </w:r>
      <w:r w:rsidR="00DB5DB8" w:rsidRPr="000C3E9F">
        <w:rPr>
          <w:sz w:val="28"/>
          <w:szCs w:val="32"/>
          <w:lang w:val="en-US"/>
        </w:rPr>
        <w:t>SAR</w:t>
      </w:r>
      <w:r w:rsidR="00F26242" w:rsidRPr="000C3E9F">
        <w:rPr>
          <w:sz w:val="28"/>
          <w:szCs w:val="32"/>
          <w:lang w:val="en-US"/>
        </w:rPr>
        <w:t>, 1,2,3-selenod</w:t>
      </w:r>
      <w:r w:rsidR="00DB5DB8" w:rsidRPr="000C3E9F">
        <w:rPr>
          <w:sz w:val="28"/>
          <w:szCs w:val="32"/>
          <w:lang w:val="en-US"/>
        </w:rPr>
        <w:t>i</w:t>
      </w:r>
      <w:r w:rsidR="00F26242" w:rsidRPr="000C3E9F">
        <w:rPr>
          <w:sz w:val="28"/>
          <w:szCs w:val="32"/>
          <w:lang w:val="en-US"/>
        </w:rPr>
        <w:t>azole.</w:t>
      </w:r>
    </w:p>
    <w:p w14:paraId="66B26E55" w14:textId="77777777" w:rsidR="00D607C5" w:rsidRPr="000C3E9F" w:rsidRDefault="00D607C5" w:rsidP="00472CC6">
      <w:pPr>
        <w:spacing w:line="276" w:lineRule="auto"/>
        <w:ind w:firstLine="709"/>
        <w:jc w:val="both"/>
        <w:rPr>
          <w:sz w:val="28"/>
          <w:szCs w:val="32"/>
          <w:lang w:val="en-US"/>
        </w:rPr>
      </w:pPr>
    </w:p>
    <w:p w14:paraId="663F9688" w14:textId="77777777" w:rsidR="005011B8" w:rsidRPr="000C3E9F" w:rsidRDefault="005011B8" w:rsidP="005011B8">
      <w:pPr>
        <w:pStyle w:val="a5"/>
        <w:spacing w:line="276" w:lineRule="auto"/>
        <w:ind w:firstLine="709"/>
        <w:jc w:val="both"/>
        <w:rPr>
          <w:sz w:val="28"/>
          <w:szCs w:val="32"/>
          <w:lang w:val="en-US"/>
        </w:rPr>
      </w:pPr>
      <w:r w:rsidRPr="000C3E9F">
        <w:rPr>
          <w:sz w:val="28"/>
          <w:szCs w:val="32"/>
          <w:lang w:val="en-US"/>
        </w:rPr>
        <w:t xml:space="preserve">A large loss of cropping agricultural plants is mainly associated with fungal and bacterial diseases plants. Viral diseases of plants are commonly widely, but at the same time are more dangerous. This is due to the fact that viruses completely affect the vascular system of plants and effective pesticides for their treatment practically do not exist [1]. </w:t>
      </w:r>
    </w:p>
    <w:p w14:paraId="307ECF93" w14:textId="77777777" w:rsidR="00497F83" w:rsidRPr="000C3E9F" w:rsidRDefault="005011B8" w:rsidP="005011B8">
      <w:pPr>
        <w:pStyle w:val="a5"/>
        <w:spacing w:line="276" w:lineRule="auto"/>
        <w:ind w:firstLine="709"/>
        <w:jc w:val="both"/>
        <w:rPr>
          <w:lang w:val="en-US"/>
        </w:rPr>
      </w:pPr>
      <w:r w:rsidRPr="000C3E9F">
        <w:rPr>
          <w:sz w:val="28"/>
          <w:szCs w:val="32"/>
          <w:lang w:val="en-US"/>
        </w:rPr>
        <w:t xml:space="preserve">We have been obtained structural analogues of synthetic activators of SAR, </w:t>
      </w:r>
      <w:proofErr w:type="spellStart"/>
      <w:r w:rsidRPr="000C3E9F">
        <w:rPr>
          <w:sz w:val="28"/>
          <w:szCs w:val="32"/>
          <w:lang w:val="en-US"/>
        </w:rPr>
        <w:t>Thiadinyl</w:t>
      </w:r>
      <w:proofErr w:type="spellEnd"/>
      <w:r w:rsidRPr="000C3E9F">
        <w:rPr>
          <w:sz w:val="28"/>
          <w:szCs w:val="32"/>
          <w:lang w:val="en-US"/>
        </w:rPr>
        <w:t xml:space="preserve"> and </w:t>
      </w:r>
      <w:proofErr w:type="spellStart"/>
      <w:r w:rsidRPr="000C3E9F">
        <w:rPr>
          <w:sz w:val="28"/>
          <w:szCs w:val="32"/>
          <w:lang w:val="en-US"/>
        </w:rPr>
        <w:t>methiadinyl</w:t>
      </w:r>
      <w:proofErr w:type="spellEnd"/>
      <w:r w:rsidRPr="000C3E9F">
        <w:rPr>
          <w:sz w:val="28"/>
          <w:szCs w:val="32"/>
          <w:lang w:val="en-US"/>
        </w:rPr>
        <w:t xml:space="preserve">, 1,2,3-selenodiazolylurea derivatives </w:t>
      </w:r>
      <w:r w:rsidRPr="000C3E9F">
        <w:rPr>
          <w:b/>
          <w:sz w:val="28"/>
          <w:szCs w:val="32"/>
          <w:lang w:val="en-US"/>
        </w:rPr>
        <w:t>1 a-m</w:t>
      </w:r>
      <w:r w:rsidRPr="000C3E9F">
        <w:rPr>
          <w:sz w:val="28"/>
          <w:szCs w:val="32"/>
          <w:lang w:val="en-US"/>
        </w:rPr>
        <w:t xml:space="preserve"> using the method developed by us earlier [2].</w:t>
      </w:r>
    </w:p>
    <w:p w14:paraId="0BEE1106" w14:textId="77777777" w:rsidR="000822D5" w:rsidRPr="000C3E9F" w:rsidRDefault="00DC6AE8" w:rsidP="000822D5">
      <w:pPr>
        <w:pStyle w:val="a5"/>
        <w:spacing w:line="276" w:lineRule="auto"/>
        <w:jc w:val="center"/>
        <w:rPr>
          <w:sz w:val="22"/>
        </w:rPr>
      </w:pPr>
      <w:r w:rsidRPr="000C3E9F">
        <w:rPr>
          <w:noProof/>
          <w:sz w:val="22"/>
        </w:rPr>
        <w:object w:dxaOrig="5220" w:dyaOrig="1860" w14:anchorId="1A7E8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26.75pt" o:ole="">
            <v:imagedata r:id="rId5" o:title=""/>
          </v:shape>
          <o:OLEObject Type="Embed" ProgID="MDLDrawOLE.MDLDrawObject.1" ShapeID="_x0000_i1025" DrawAspect="Content" ObjectID="_1641920567" r:id="rId6"/>
        </w:object>
      </w:r>
    </w:p>
    <w:p w14:paraId="470FC5C2" w14:textId="77777777" w:rsidR="005937F6" w:rsidRPr="000C3E9F" w:rsidRDefault="005937F6" w:rsidP="000822D5">
      <w:pPr>
        <w:pStyle w:val="a5"/>
        <w:spacing w:line="276" w:lineRule="auto"/>
        <w:jc w:val="center"/>
        <w:rPr>
          <w:sz w:val="22"/>
        </w:rPr>
      </w:pPr>
    </w:p>
    <w:p w14:paraId="43226E41" w14:textId="77777777" w:rsidR="00AE651D" w:rsidRPr="000C3E9F" w:rsidRDefault="00AD6B46" w:rsidP="00AE651D">
      <w:pPr>
        <w:pStyle w:val="a5"/>
        <w:ind w:firstLine="709"/>
        <w:jc w:val="both"/>
        <w:rPr>
          <w:iCs/>
          <w:sz w:val="22"/>
          <w:lang w:val="en-US"/>
        </w:rPr>
      </w:pPr>
      <w:r w:rsidRPr="000C3E9F">
        <w:rPr>
          <w:iCs/>
          <w:sz w:val="22"/>
          <w:lang w:val="en-US"/>
        </w:rPr>
        <w:t>*</w:t>
      </w:r>
      <w:r w:rsidR="00412821" w:rsidRPr="000C3E9F">
        <w:rPr>
          <w:iCs/>
          <w:sz w:val="22"/>
          <w:lang w:val="en-US"/>
        </w:rPr>
        <w:t xml:space="preserve"> The work was supported by the R</w:t>
      </w:r>
      <w:r w:rsidR="001C4338" w:rsidRPr="000C3E9F">
        <w:rPr>
          <w:iCs/>
          <w:sz w:val="22"/>
          <w:lang w:val="en-US"/>
        </w:rPr>
        <w:t>S</w:t>
      </w:r>
      <w:r w:rsidR="00412821" w:rsidRPr="000C3E9F">
        <w:rPr>
          <w:iCs/>
          <w:sz w:val="22"/>
          <w:lang w:val="en-US"/>
        </w:rPr>
        <w:t>F Grant</w:t>
      </w:r>
      <w:r w:rsidR="00AE651D" w:rsidRPr="000C3E9F">
        <w:rPr>
          <w:iCs/>
          <w:sz w:val="22"/>
          <w:lang w:val="en-US"/>
        </w:rPr>
        <w:t xml:space="preserve"> 16-16-04022.</w:t>
      </w:r>
    </w:p>
    <w:p w14:paraId="1AEC9818" w14:textId="77777777" w:rsidR="00C73B72" w:rsidRPr="000C3E9F" w:rsidRDefault="00F27C3F" w:rsidP="00C73B72">
      <w:pPr>
        <w:pStyle w:val="a5"/>
        <w:ind w:firstLine="709"/>
        <w:jc w:val="both"/>
        <w:rPr>
          <w:iCs/>
          <w:sz w:val="22"/>
          <w:lang w:val="en-US"/>
        </w:rPr>
      </w:pPr>
      <w:r w:rsidRPr="000C3E9F">
        <w:rPr>
          <w:iCs/>
          <w:sz w:val="22"/>
          <w:lang w:val="en-US"/>
        </w:rPr>
        <w:t xml:space="preserve">© </w:t>
      </w:r>
      <w:proofErr w:type="spellStart"/>
      <w:r w:rsidR="000F09BF" w:rsidRPr="000C3E9F">
        <w:rPr>
          <w:iCs/>
          <w:sz w:val="22"/>
          <w:lang w:val="en-US"/>
        </w:rPr>
        <w:t>Kalinin</w:t>
      </w:r>
      <w:r w:rsidR="00275691" w:rsidRPr="000C3E9F">
        <w:rPr>
          <w:iCs/>
          <w:sz w:val="22"/>
          <w:lang w:val="en-US"/>
        </w:rPr>
        <w:t>a</w:t>
      </w:r>
      <w:proofErr w:type="spellEnd"/>
      <w:r w:rsidR="000F09BF" w:rsidRPr="000C3E9F">
        <w:rPr>
          <w:iCs/>
          <w:sz w:val="22"/>
          <w:lang w:val="en-US"/>
        </w:rPr>
        <w:t xml:space="preserve"> T</w:t>
      </w:r>
      <w:r w:rsidR="00275691" w:rsidRPr="000C3E9F">
        <w:rPr>
          <w:iCs/>
          <w:sz w:val="22"/>
          <w:lang w:val="en-US"/>
        </w:rPr>
        <w:t>.</w:t>
      </w:r>
      <w:r w:rsidR="000F09BF" w:rsidRPr="000C3E9F">
        <w:rPr>
          <w:iCs/>
          <w:sz w:val="22"/>
          <w:lang w:val="en-US"/>
        </w:rPr>
        <w:t>A</w:t>
      </w:r>
      <w:r w:rsidR="00275691" w:rsidRPr="000C3E9F">
        <w:rPr>
          <w:iCs/>
          <w:sz w:val="22"/>
          <w:lang w:val="en-US"/>
        </w:rPr>
        <w:t>.</w:t>
      </w:r>
      <w:r w:rsidR="000F09BF" w:rsidRPr="000C3E9F">
        <w:rPr>
          <w:iCs/>
          <w:sz w:val="22"/>
          <w:lang w:val="en-US"/>
        </w:rPr>
        <w:t xml:space="preserve">, </w:t>
      </w:r>
      <w:proofErr w:type="spellStart"/>
      <w:r w:rsidR="00275691" w:rsidRPr="000C3E9F">
        <w:rPr>
          <w:iCs/>
          <w:sz w:val="22"/>
          <w:lang w:val="en-US"/>
        </w:rPr>
        <w:t>Vysokova</w:t>
      </w:r>
      <w:proofErr w:type="spellEnd"/>
      <w:r w:rsidR="000F09BF" w:rsidRPr="000C3E9F">
        <w:rPr>
          <w:iCs/>
          <w:sz w:val="22"/>
          <w:lang w:val="en-US"/>
        </w:rPr>
        <w:t xml:space="preserve"> A</w:t>
      </w:r>
      <w:r w:rsidR="00275691" w:rsidRPr="000C3E9F">
        <w:rPr>
          <w:iCs/>
          <w:sz w:val="22"/>
          <w:lang w:val="en-US"/>
        </w:rPr>
        <w:t>.</w:t>
      </w:r>
      <w:r w:rsidR="000F09BF" w:rsidRPr="000C3E9F">
        <w:rPr>
          <w:iCs/>
          <w:sz w:val="22"/>
          <w:lang w:val="en-US"/>
        </w:rPr>
        <w:t>A</w:t>
      </w:r>
      <w:r w:rsidR="00275691" w:rsidRPr="000C3E9F">
        <w:rPr>
          <w:iCs/>
          <w:sz w:val="22"/>
          <w:lang w:val="en-US"/>
        </w:rPr>
        <w:t>.</w:t>
      </w:r>
      <w:r w:rsidR="000F09BF" w:rsidRPr="000C3E9F">
        <w:rPr>
          <w:iCs/>
          <w:sz w:val="22"/>
          <w:lang w:val="en-US"/>
        </w:rPr>
        <w:t xml:space="preserve">, </w:t>
      </w:r>
      <w:proofErr w:type="spellStart"/>
      <w:r w:rsidR="000F09BF" w:rsidRPr="000C3E9F">
        <w:rPr>
          <w:iCs/>
          <w:sz w:val="22"/>
          <w:lang w:val="en-US"/>
        </w:rPr>
        <w:t>Lukyanina</w:t>
      </w:r>
      <w:proofErr w:type="spellEnd"/>
      <w:r w:rsidR="000F09BF" w:rsidRPr="000C3E9F">
        <w:rPr>
          <w:iCs/>
          <w:sz w:val="22"/>
          <w:lang w:val="en-US"/>
        </w:rPr>
        <w:t xml:space="preserve"> N</w:t>
      </w:r>
      <w:r w:rsidR="00275691" w:rsidRPr="000C3E9F">
        <w:rPr>
          <w:iCs/>
          <w:sz w:val="22"/>
          <w:lang w:val="en-US"/>
        </w:rPr>
        <w:t>.</w:t>
      </w:r>
      <w:r w:rsidR="000F09BF" w:rsidRPr="000C3E9F">
        <w:rPr>
          <w:iCs/>
          <w:sz w:val="22"/>
          <w:lang w:val="en-US"/>
        </w:rPr>
        <w:t>V</w:t>
      </w:r>
      <w:r w:rsidR="00275691" w:rsidRPr="000C3E9F">
        <w:rPr>
          <w:iCs/>
          <w:sz w:val="22"/>
          <w:lang w:val="en-US"/>
        </w:rPr>
        <w:t>.</w:t>
      </w:r>
      <w:r w:rsidR="000F09BF" w:rsidRPr="000C3E9F">
        <w:rPr>
          <w:iCs/>
          <w:sz w:val="22"/>
          <w:lang w:val="en-US"/>
        </w:rPr>
        <w:t xml:space="preserve">, Fan </w:t>
      </w:r>
      <w:r w:rsidR="005011B8" w:rsidRPr="000C3E9F">
        <w:rPr>
          <w:iCs/>
          <w:sz w:val="22"/>
          <w:lang w:val="en-US"/>
        </w:rPr>
        <w:t>Z</w:t>
      </w:r>
      <w:r w:rsidR="000F09BF" w:rsidRPr="000C3E9F">
        <w:rPr>
          <w:iCs/>
          <w:sz w:val="22"/>
          <w:lang w:val="en-US"/>
        </w:rPr>
        <w:t>.-</w:t>
      </w:r>
      <w:r w:rsidR="00275691" w:rsidRPr="000C3E9F">
        <w:rPr>
          <w:iCs/>
          <w:sz w:val="22"/>
          <w:lang w:val="en-US"/>
        </w:rPr>
        <w:t>J</w:t>
      </w:r>
      <w:r w:rsidR="000F09BF" w:rsidRPr="000C3E9F">
        <w:rPr>
          <w:iCs/>
          <w:sz w:val="22"/>
          <w:lang w:val="en-US"/>
        </w:rPr>
        <w:t xml:space="preserve">., </w:t>
      </w:r>
      <w:proofErr w:type="spellStart"/>
      <w:r w:rsidR="000F09BF" w:rsidRPr="000C3E9F">
        <w:rPr>
          <w:iCs/>
          <w:sz w:val="22"/>
          <w:lang w:val="en-US"/>
        </w:rPr>
        <w:t>Gl</w:t>
      </w:r>
      <w:r w:rsidR="00275691" w:rsidRPr="000C3E9F">
        <w:rPr>
          <w:iCs/>
          <w:sz w:val="22"/>
          <w:lang w:val="en-US"/>
        </w:rPr>
        <w:t>u</w:t>
      </w:r>
      <w:r w:rsidR="000F09BF" w:rsidRPr="000C3E9F">
        <w:rPr>
          <w:iCs/>
          <w:sz w:val="22"/>
          <w:lang w:val="en-US"/>
        </w:rPr>
        <w:t>hareva</w:t>
      </w:r>
      <w:proofErr w:type="spellEnd"/>
      <w:r w:rsidR="000F09BF" w:rsidRPr="000C3E9F">
        <w:rPr>
          <w:iCs/>
          <w:sz w:val="22"/>
          <w:lang w:val="en-US"/>
        </w:rPr>
        <w:t xml:space="preserve"> T</w:t>
      </w:r>
      <w:r w:rsidR="00275691" w:rsidRPr="000C3E9F">
        <w:rPr>
          <w:iCs/>
          <w:sz w:val="22"/>
          <w:lang w:val="en-US"/>
        </w:rPr>
        <w:t>.</w:t>
      </w:r>
      <w:r w:rsidR="000F09BF" w:rsidRPr="000C3E9F">
        <w:rPr>
          <w:iCs/>
          <w:sz w:val="22"/>
          <w:lang w:val="en-US"/>
        </w:rPr>
        <w:t>V</w:t>
      </w:r>
      <w:r w:rsidR="00275691" w:rsidRPr="000C3E9F">
        <w:rPr>
          <w:iCs/>
          <w:sz w:val="22"/>
          <w:lang w:val="en-US"/>
        </w:rPr>
        <w:t>.</w:t>
      </w:r>
      <w:r w:rsidR="0040530B" w:rsidRPr="000C3E9F">
        <w:rPr>
          <w:iCs/>
          <w:sz w:val="22"/>
          <w:lang w:val="en-US"/>
        </w:rPr>
        <w:t>,</w:t>
      </w:r>
      <w:r w:rsidR="00AF39E7" w:rsidRPr="000C3E9F">
        <w:rPr>
          <w:iCs/>
          <w:sz w:val="22"/>
          <w:lang w:val="en-US"/>
        </w:rPr>
        <w:t xml:space="preserve"> </w:t>
      </w:r>
      <w:r w:rsidR="0040530B" w:rsidRPr="000C3E9F">
        <w:rPr>
          <w:iCs/>
          <w:sz w:val="22"/>
          <w:lang w:val="en-US"/>
        </w:rPr>
        <w:t>2019</w:t>
      </w:r>
      <w:r w:rsidR="00C73B72" w:rsidRPr="000C3E9F">
        <w:rPr>
          <w:iCs/>
          <w:sz w:val="22"/>
          <w:lang w:val="en-US"/>
        </w:rPr>
        <w:br w:type="page"/>
      </w:r>
    </w:p>
    <w:p w14:paraId="01939A74" w14:textId="77777777" w:rsidR="003F6D64" w:rsidRPr="000C3E9F" w:rsidRDefault="003F6D64" w:rsidP="003F6D64">
      <w:pPr>
        <w:pStyle w:val="a5"/>
        <w:jc w:val="center"/>
        <w:rPr>
          <w:sz w:val="22"/>
          <w:lang w:val="en-US"/>
        </w:rPr>
      </w:pPr>
      <w:r w:rsidRPr="000C3E9F">
        <w:rPr>
          <w:noProof/>
          <w:sz w:val="22"/>
        </w:rPr>
        <w:lastRenderedPageBreak/>
        <w:drawing>
          <wp:inline distT="0" distB="0" distL="0" distR="0" wp14:anchorId="0229FFE2" wp14:editId="204A3601">
            <wp:extent cx="1191895" cy="992505"/>
            <wp:effectExtent l="0" t="0" r="8255" b="0"/>
            <wp:docPr id="9" name="Рисунок 9" descr="IMG_2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867.jpg"/>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b="5586"/>
                    <a:stretch>
                      <a:fillRect/>
                    </a:stretch>
                  </pic:blipFill>
                  <pic:spPr bwMode="auto">
                    <a:xfrm>
                      <a:off x="0" y="0"/>
                      <a:ext cx="1191895" cy="992505"/>
                    </a:xfrm>
                    <a:prstGeom prst="rect">
                      <a:avLst/>
                    </a:prstGeom>
                    <a:noFill/>
                    <a:ln>
                      <a:noFill/>
                    </a:ln>
                  </pic:spPr>
                </pic:pic>
              </a:graphicData>
            </a:graphic>
          </wp:inline>
        </w:drawing>
      </w:r>
      <w:r w:rsidRPr="000C3E9F">
        <w:rPr>
          <w:sz w:val="22"/>
          <w:lang w:val="en-US"/>
        </w:rPr>
        <w:t xml:space="preserve"> </w:t>
      </w:r>
      <w:r w:rsidRPr="000C3E9F">
        <w:rPr>
          <w:noProof/>
          <w:sz w:val="22"/>
        </w:rPr>
        <w:drawing>
          <wp:inline distT="0" distB="0" distL="0" distR="0" wp14:anchorId="5A0680FB" wp14:editId="468F0C01">
            <wp:extent cx="1399540" cy="1009650"/>
            <wp:effectExtent l="0" t="0" r="0" b="0"/>
            <wp:docPr id="7" name="Рисунок 7" descr="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l"/>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1399540" cy="1009650"/>
                    </a:xfrm>
                    <a:prstGeom prst="rect">
                      <a:avLst/>
                    </a:prstGeom>
                    <a:noFill/>
                    <a:ln>
                      <a:noFill/>
                    </a:ln>
                  </pic:spPr>
                </pic:pic>
              </a:graphicData>
            </a:graphic>
          </wp:inline>
        </w:drawing>
      </w:r>
      <w:r w:rsidRPr="000C3E9F">
        <w:rPr>
          <w:noProof/>
          <w:sz w:val="22"/>
        </w:rPr>
        <w:drawing>
          <wp:inline distT="0" distB="0" distL="0" distR="0" wp14:anchorId="78CC4EA3" wp14:editId="50F1BFF8">
            <wp:extent cx="1265555" cy="875665"/>
            <wp:effectExtent l="0" t="0" r="0" b="635"/>
            <wp:docPr id="6" name="Рисунок 6" descr="IMG_E2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E2896.jpg"/>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1265555" cy="875665"/>
                    </a:xfrm>
                    <a:prstGeom prst="rect">
                      <a:avLst/>
                    </a:prstGeom>
                    <a:noFill/>
                    <a:ln>
                      <a:noFill/>
                    </a:ln>
                  </pic:spPr>
                </pic:pic>
              </a:graphicData>
            </a:graphic>
          </wp:inline>
        </w:drawing>
      </w:r>
      <w:r w:rsidRPr="000C3E9F">
        <w:rPr>
          <w:noProof/>
          <w:sz w:val="22"/>
          <w:lang w:val="en-US"/>
        </w:rPr>
        <w:t xml:space="preserve"> </w:t>
      </w:r>
      <w:r w:rsidRPr="000C3E9F">
        <w:rPr>
          <w:noProof/>
          <w:sz w:val="22"/>
        </w:rPr>
        <w:drawing>
          <wp:inline distT="0" distB="0" distL="0" distR="0" wp14:anchorId="655E7791" wp14:editId="741DD3C8">
            <wp:extent cx="1287145" cy="970915"/>
            <wp:effectExtent l="0" t="0" r="8255" b="635"/>
            <wp:docPr id="5" name="Рисунок 5" descr="Water Inductio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 Induction 2017"/>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1287145" cy="970915"/>
                    </a:xfrm>
                    <a:prstGeom prst="rect">
                      <a:avLst/>
                    </a:prstGeom>
                    <a:noFill/>
                    <a:ln>
                      <a:noFill/>
                    </a:ln>
                  </pic:spPr>
                </pic:pic>
              </a:graphicData>
            </a:graphic>
          </wp:inline>
        </w:drawing>
      </w:r>
    </w:p>
    <w:p w14:paraId="1698FD6E" w14:textId="77777777" w:rsidR="003F6D64" w:rsidRPr="000C3E9F" w:rsidRDefault="003F6D64" w:rsidP="00D41020">
      <w:pPr>
        <w:pStyle w:val="a5"/>
        <w:ind w:left="2123" w:firstLine="1"/>
        <w:contextualSpacing/>
        <w:rPr>
          <w:b/>
          <w:sz w:val="22"/>
          <w:lang w:val="en-US"/>
        </w:rPr>
      </w:pPr>
      <w:r w:rsidRPr="000C3E9F">
        <w:rPr>
          <w:b/>
          <w:sz w:val="22"/>
          <w:lang w:val="en-US"/>
        </w:rPr>
        <w:t>1k</w:t>
      </w:r>
      <w:r w:rsidRPr="000C3E9F">
        <w:rPr>
          <w:b/>
          <w:sz w:val="22"/>
          <w:lang w:val="en-US"/>
        </w:rPr>
        <w:tab/>
      </w:r>
      <w:r w:rsidRPr="000C3E9F">
        <w:rPr>
          <w:b/>
          <w:sz w:val="22"/>
          <w:lang w:val="en-US"/>
        </w:rPr>
        <w:tab/>
      </w:r>
      <w:r w:rsidRPr="000C3E9F">
        <w:rPr>
          <w:b/>
          <w:sz w:val="22"/>
          <w:lang w:val="en-US"/>
        </w:rPr>
        <w:tab/>
        <w:t>1l</w:t>
      </w:r>
      <w:r w:rsidRPr="000C3E9F">
        <w:rPr>
          <w:b/>
          <w:sz w:val="22"/>
          <w:lang w:val="en-US"/>
        </w:rPr>
        <w:tab/>
      </w:r>
      <w:r w:rsidRPr="000C3E9F">
        <w:rPr>
          <w:b/>
          <w:sz w:val="22"/>
          <w:lang w:val="en-US"/>
        </w:rPr>
        <w:tab/>
        <w:t>TDL</w:t>
      </w:r>
      <w:r w:rsidRPr="000C3E9F">
        <w:rPr>
          <w:b/>
          <w:sz w:val="22"/>
          <w:lang w:val="en-US"/>
        </w:rPr>
        <w:tab/>
      </w:r>
      <w:r w:rsidRPr="000C3E9F">
        <w:rPr>
          <w:b/>
          <w:sz w:val="22"/>
          <w:lang w:val="en-US"/>
        </w:rPr>
        <w:tab/>
      </w:r>
      <w:r w:rsidR="00D41020" w:rsidRPr="000C3E9F">
        <w:rPr>
          <w:b/>
          <w:sz w:val="22"/>
          <w:lang w:val="en-US"/>
        </w:rPr>
        <w:tab/>
      </w:r>
      <w:r w:rsidR="005011B8" w:rsidRPr="000C3E9F">
        <w:rPr>
          <w:b/>
          <w:szCs w:val="28"/>
          <w:lang w:val="en-US"/>
        </w:rPr>
        <w:t>water</w:t>
      </w:r>
    </w:p>
    <w:p w14:paraId="063F1BAA" w14:textId="77777777" w:rsidR="005011B8" w:rsidRPr="000C3E9F" w:rsidRDefault="00D55E25" w:rsidP="005011B8">
      <w:pPr>
        <w:spacing w:line="276" w:lineRule="auto"/>
        <w:ind w:firstLine="709"/>
        <w:jc w:val="center"/>
        <w:rPr>
          <w:szCs w:val="28"/>
          <w:lang w:val="en-US"/>
        </w:rPr>
      </w:pPr>
      <w:r w:rsidRPr="000C3E9F">
        <w:rPr>
          <w:szCs w:val="28"/>
          <w:lang w:val="en-US"/>
        </w:rPr>
        <w:t xml:space="preserve">Figure 1. Tobacco leaves treated with </w:t>
      </w:r>
      <w:r w:rsidRPr="000C3E9F">
        <w:rPr>
          <w:b/>
          <w:szCs w:val="28"/>
          <w:lang w:val="en-US"/>
        </w:rPr>
        <w:t>1</w:t>
      </w:r>
      <w:r w:rsidR="005011B8" w:rsidRPr="000C3E9F">
        <w:rPr>
          <w:b/>
          <w:szCs w:val="28"/>
          <w:lang w:val="en-US"/>
        </w:rPr>
        <w:t>k</w:t>
      </w:r>
      <w:r w:rsidRPr="000C3E9F">
        <w:rPr>
          <w:szCs w:val="28"/>
          <w:lang w:val="en-US"/>
        </w:rPr>
        <w:t xml:space="preserve">, </w:t>
      </w:r>
      <w:r w:rsidRPr="000C3E9F">
        <w:rPr>
          <w:b/>
          <w:szCs w:val="28"/>
          <w:lang w:val="en-US"/>
        </w:rPr>
        <w:t>1</w:t>
      </w:r>
      <w:r w:rsidR="005011B8" w:rsidRPr="000C3E9F">
        <w:rPr>
          <w:b/>
          <w:szCs w:val="28"/>
          <w:lang w:val="en-US"/>
        </w:rPr>
        <w:t>l</w:t>
      </w:r>
      <w:r w:rsidRPr="000C3E9F">
        <w:rPr>
          <w:szCs w:val="28"/>
          <w:lang w:val="en-US"/>
        </w:rPr>
        <w:t xml:space="preserve">, </w:t>
      </w:r>
      <w:r w:rsidRPr="000C3E9F">
        <w:rPr>
          <w:b/>
          <w:szCs w:val="28"/>
          <w:lang w:val="en-US"/>
        </w:rPr>
        <w:t>TDL</w:t>
      </w:r>
      <w:r w:rsidR="005011B8" w:rsidRPr="000C3E9F">
        <w:rPr>
          <w:b/>
          <w:szCs w:val="28"/>
          <w:lang w:val="en-US"/>
        </w:rPr>
        <w:t xml:space="preserve"> and </w:t>
      </w:r>
      <w:r w:rsidR="005011B8" w:rsidRPr="000C3E9F">
        <w:rPr>
          <w:szCs w:val="28"/>
          <w:lang w:val="en-US"/>
        </w:rPr>
        <w:t>water</w:t>
      </w:r>
    </w:p>
    <w:p w14:paraId="3E14F84D" w14:textId="77777777" w:rsidR="000638F3" w:rsidRPr="000C3E9F" w:rsidRDefault="005011B8" w:rsidP="000638F3">
      <w:pPr>
        <w:spacing w:line="276" w:lineRule="auto"/>
        <w:ind w:firstLine="709"/>
        <w:jc w:val="both"/>
        <w:rPr>
          <w:sz w:val="28"/>
          <w:szCs w:val="32"/>
          <w:lang w:val="en-US"/>
        </w:rPr>
      </w:pPr>
      <w:r w:rsidRPr="000C3E9F">
        <w:rPr>
          <w:szCs w:val="28"/>
          <w:lang w:val="en-US"/>
        </w:rPr>
        <w:t>C</w:t>
      </w:r>
      <w:r w:rsidR="00D55E25" w:rsidRPr="000C3E9F">
        <w:rPr>
          <w:szCs w:val="28"/>
          <w:lang w:val="en-US"/>
        </w:rPr>
        <w:t>ontinued text of the published material ... (Table 1)</w:t>
      </w:r>
      <w:r w:rsidR="005937F6" w:rsidRPr="000C3E9F">
        <w:rPr>
          <w:sz w:val="28"/>
          <w:szCs w:val="32"/>
          <w:lang w:val="en-US"/>
        </w:rPr>
        <w:t>.</w:t>
      </w:r>
    </w:p>
    <w:p w14:paraId="45867242" w14:textId="77777777" w:rsidR="000822D5" w:rsidRPr="000C3E9F" w:rsidRDefault="00D55E25" w:rsidP="000822D5">
      <w:pPr>
        <w:spacing w:line="276" w:lineRule="auto"/>
        <w:ind w:firstLine="709"/>
        <w:jc w:val="right"/>
        <w:rPr>
          <w:szCs w:val="28"/>
          <w:lang w:val="en-US"/>
        </w:rPr>
      </w:pPr>
      <w:r w:rsidRPr="000C3E9F">
        <w:rPr>
          <w:szCs w:val="28"/>
          <w:lang w:val="en-US"/>
        </w:rPr>
        <w:t>Table</w:t>
      </w:r>
      <w:r w:rsidR="000822D5" w:rsidRPr="000C3E9F">
        <w:rPr>
          <w:szCs w:val="28"/>
          <w:lang w:val="en-US"/>
        </w:rPr>
        <w:t xml:space="preserve"> 1</w:t>
      </w:r>
    </w:p>
    <w:p w14:paraId="51DA2CAF" w14:textId="77777777" w:rsidR="000638F3" w:rsidRPr="000C3E9F" w:rsidRDefault="003B0460" w:rsidP="000822D5">
      <w:pPr>
        <w:spacing w:line="276" w:lineRule="auto"/>
        <w:ind w:firstLine="709"/>
        <w:jc w:val="center"/>
        <w:rPr>
          <w:szCs w:val="28"/>
          <w:lang w:val="en-US"/>
        </w:rPr>
      </w:pPr>
      <w:r w:rsidRPr="000C3E9F">
        <w:rPr>
          <w:szCs w:val="28"/>
          <w:lang w:val="en-US"/>
        </w:rPr>
        <w:t xml:space="preserve">Properties of </w:t>
      </w:r>
      <w:r w:rsidR="005011B8" w:rsidRPr="000C3E9F">
        <w:rPr>
          <w:szCs w:val="24"/>
          <w:lang w:val="en-US"/>
        </w:rPr>
        <w:t>samples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690"/>
        <w:gridCol w:w="1620"/>
        <w:gridCol w:w="1620"/>
      </w:tblGrid>
      <w:tr w:rsidR="000638F3" w:rsidRPr="000C3E9F" w14:paraId="522EA7DC" w14:textId="77777777" w:rsidTr="00262587">
        <w:trPr>
          <w:jc w:val="center"/>
        </w:trPr>
        <w:tc>
          <w:tcPr>
            <w:tcW w:w="2557" w:type="dxa"/>
            <w:vMerge w:val="restart"/>
            <w:tcBorders>
              <w:top w:val="single" w:sz="4" w:space="0" w:color="auto"/>
              <w:left w:val="single" w:sz="4" w:space="0" w:color="auto"/>
              <w:bottom w:val="single" w:sz="4" w:space="0" w:color="auto"/>
              <w:right w:val="single" w:sz="4" w:space="0" w:color="auto"/>
            </w:tcBorders>
            <w:vAlign w:val="center"/>
            <w:hideMark/>
          </w:tcPr>
          <w:p w14:paraId="39F12631" w14:textId="77777777" w:rsidR="000638F3" w:rsidRPr="000C3E9F" w:rsidRDefault="005011B8" w:rsidP="00262587">
            <w:pPr>
              <w:jc w:val="center"/>
              <w:rPr>
                <w:szCs w:val="24"/>
              </w:rPr>
            </w:pPr>
            <w:r w:rsidRPr="000C3E9F">
              <w:rPr>
                <w:szCs w:val="28"/>
                <w:lang w:val="en-US"/>
              </w:rPr>
              <w:t>Properties</w:t>
            </w:r>
          </w:p>
        </w:tc>
        <w:tc>
          <w:tcPr>
            <w:tcW w:w="4930" w:type="dxa"/>
            <w:gridSpan w:val="3"/>
            <w:tcBorders>
              <w:top w:val="single" w:sz="4" w:space="0" w:color="auto"/>
              <w:left w:val="single" w:sz="4" w:space="0" w:color="auto"/>
              <w:bottom w:val="single" w:sz="4" w:space="0" w:color="auto"/>
              <w:right w:val="single" w:sz="4" w:space="0" w:color="auto"/>
            </w:tcBorders>
            <w:vAlign w:val="center"/>
            <w:hideMark/>
          </w:tcPr>
          <w:p w14:paraId="7352FFDD" w14:textId="77777777" w:rsidR="000638F3" w:rsidRPr="000C3E9F" w:rsidRDefault="005011B8" w:rsidP="00262587">
            <w:pPr>
              <w:jc w:val="center"/>
              <w:rPr>
                <w:szCs w:val="24"/>
              </w:rPr>
            </w:pPr>
            <w:r w:rsidRPr="000C3E9F">
              <w:rPr>
                <w:szCs w:val="24"/>
                <w:lang w:val="en-US"/>
              </w:rPr>
              <w:t>Samples</w:t>
            </w:r>
          </w:p>
        </w:tc>
      </w:tr>
      <w:tr w:rsidR="000638F3" w:rsidRPr="000C3E9F" w14:paraId="56B65718" w14:textId="77777777" w:rsidTr="00262587">
        <w:trPr>
          <w:jc w:val="center"/>
        </w:trPr>
        <w:tc>
          <w:tcPr>
            <w:tcW w:w="2557" w:type="dxa"/>
            <w:vMerge/>
            <w:tcBorders>
              <w:top w:val="single" w:sz="4" w:space="0" w:color="auto"/>
              <w:left w:val="single" w:sz="4" w:space="0" w:color="auto"/>
              <w:bottom w:val="single" w:sz="4" w:space="0" w:color="auto"/>
              <w:right w:val="single" w:sz="4" w:space="0" w:color="auto"/>
            </w:tcBorders>
            <w:vAlign w:val="center"/>
            <w:hideMark/>
          </w:tcPr>
          <w:p w14:paraId="62EA9662" w14:textId="77777777" w:rsidR="000638F3" w:rsidRPr="000C3E9F" w:rsidRDefault="000638F3" w:rsidP="00262587">
            <w:pPr>
              <w:jc w:val="center"/>
              <w:rPr>
                <w:szCs w:val="24"/>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5C982A48" w14:textId="77777777" w:rsidR="000638F3" w:rsidRPr="000C3E9F" w:rsidRDefault="005011B8" w:rsidP="00262587">
            <w:pPr>
              <w:jc w:val="center"/>
              <w:rPr>
                <w:szCs w:val="24"/>
              </w:rPr>
            </w:pPr>
            <w:r w:rsidRPr="000C3E9F">
              <w:rPr>
                <w:szCs w:val="24"/>
                <w:lang w:val="en-US"/>
              </w:rPr>
              <w:t>Sample</w:t>
            </w:r>
            <w:r w:rsidR="000638F3" w:rsidRPr="000C3E9F">
              <w:rPr>
                <w:szCs w:val="24"/>
              </w:rPr>
              <w:t xml:space="preserve"> №1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9AEF96" w14:textId="77777777" w:rsidR="000638F3" w:rsidRPr="000C3E9F" w:rsidRDefault="005011B8" w:rsidP="00262587">
            <w:pPr>
              <w:jc w:val="center"/>
              <w:rPr>
                <w:szCs w:val="24"/>
              </w:rPr>
            </w:pPr>
            <w:r w:rsidRPr="000C3E9F">
              <w:rPr>
                <w:szCs w:val="24"/>
                <w:lang w:val="en-US"/>
              </w:rPr>
              <w:t>Sample</w:t>
            </w:r>
            <w:r w:rsidRPr="000C3E9F">
              <w:rPr>
                <w:szCs w:val="24"/>
              </w:rPr>
              <w:t xml:space="preserve"> </w:t>
            </w:r>
            <w:r w:rsidR="000638F3" w:rsidRPr="000C3E9F">
              <w:rPr>
                <w:szCs w:val="24"/>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E628C1" w14:textId="77777777" w:rsidR="000638F3" w:rsidRPr="000C3E9F" w:rsidRDefault="005011B8" w:rsidP="00262587">
            <w:pPr>
              <w:jc w:val="center"/>
              <w:rPr>
                <w:szCs w:val="24"/>
              </w:rPr>
            </w:pPr>
            <w:r w:rsidRPr="000C3E9F">
              <w:rPr>
                <w:szCs w:val="24"/>
                <w:lang w:val="en-US"/>
              </w:rPr>
              <w:t>Sample</w:t>
            </w:r>
            <w:r w:rsidRPr="000C3E9F">
              <w:rPr>
                <w:szCs w:val="24"/>
              </w:rPr>
              <w:t xml:space="preserve"> </w:t>
            </w:r>
            <w:r w:rsidR="000638F3" w:rsidRPr="000C3E9F">
              <w:rPr>
                <w:szCs w:val="24"/>
              </w:rPr>
              <w:t>№3</w:t>
            </w:r>
          </w:p>
        </w:tc>
      </w:tr>
      <w:tr w:rsidR="000638F3" w:rsidRPr="000C3E9F" w14:paraId="75FAF238" w14:textId="77777777" w:rsidTr="00262587">
        <w:trPr>
          <w:jc w:val="center"/>
        </w:trPr>
        <w:tc>
          <w:tcPr>
            <w:tcW w:w="2557" w:type="dxa"/>
            <w:tcBorders>
              <w:top w:val="single" w:sz="4" w:space="0" w:color="auto"/>
              <w:left w:val="single" w:sz="4" w:space="0" w:color="auto"/>
              <w:bottom w:val="single" w:sz="4" w:space="0" w:color="auto"/>
              <w:right w:val="single" w:sz="4" w:space="0" w:color="auto"/>
            </w:tcBorders>
            <w:vAlign w:val="center"/>
            <w:hideMark/>
          </w:tcPr>
          <w:p w14:paraId="2C380B89" w14:textId="77777777" w:rsidR="000638F3" w:rsidRPr="000C3E9F" w:rsidRDefault="00F40FCE" w:rsidP="005011B8">
            <w:pPr>
              <w:jc w:val="center"/>
              <w:rPr>
                <w:szCs w:val="24"/>
                <w:lang w:val="en-US"/>
              </w:rPr>
            </w:pPr>
            <w:r w:rsidRPr="000C3E9F">
              <w:rPr>
                <w:szCs w:val="24"/>
                <w:lang w:val="en-US"/>
              </w:rPr>
              <w:t xml:space="preserve">Length of the </w:t>
            </w:r>
            <w:r w:rsidR="005011B8" w:rsidRPr="000C3E9F">
              <w:rPr>
                <w:szCs w:val="24"/>
                <w:lang w:val="en-US"/>
              </w:rPr>
              <w:t>sample</w:t>
            </w:r>
            <w:r w:rsidR="000822D5" w:rsidRPr="000C3E9F">
              <w:rPr>
                <w:szCs w:val="24"/>
                <w:lang w:val="en-US"/>
              </w:rPr>
              <w:t xml:space="preserve">, </w:t>
            </w:r>
            <w:r w:rsidRPr="000C3E9F">
              <w:rPr>
                <w:szCs w:val="24"/>
              </w:rPr>
              <w:t>с</w:t>
            </w:r>
            <w:r w:rsidRPr="000C3E9F">
              <w:rPr>
                <w:szCs w:val="24"/>
                <w:lang w:val="en-US"/>
              </w:rPr>
              <w:t>m</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D1F5C1C" w14:textId="77777777" w:rsidR="000638F3" w:rsidRPr="000C3E9F" w:rsidRDefault="000638F3" w:rsidP="00262587">
            <w:pPr>
              <w:jc w:val="center"/>
              <w:rPr>
                <w:szCs w:val="24"/>
              </w:rPr>
            </w:pPr>
            <w:r w:rsidRPr="000C3E9F">
              <w:rPr>
                <w:szCs w:val="24"/>
              </w:rPr>
              <w:t>55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71D9A1B" w14:textId="77777777" w:rsidR="000638F3" w:rsidRPr="000C3E9F" w:rsidRDefault="000638F3" w:rsidP="00262587">
            <w:pPr>
              <w:jc w:val="center"/>
              <w:rPr>
                <w:szCs w:val="24"/>
              </w:rPr>
            </w:pPr>
            <w:r w:rsidRPr="000C3E9F">
              <w:rPr>
                <w:szCs w:val="24"/>
              </w:rPr>
              <w:t>66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ADC212" w14:textId="77777777" w:rsidR="000638F3" w:rsidRPr="000C3E9F" w:rsidRDefault="000638F3" w:rsidP="00262587">
            <w:pPr>
              <w:jc w:val="center"/>
              <w:rPr>
                <w:szCs w:val="24"/>
              </w:rPr>
            </w:pPr>
            <w:r w:rsidRPr="000C3E9F">
              <w:rPr>
                <w:szCs w:val="24"/>
              </w:rPr>
              <w:t>77</w:t>
            </w:r>
          </w:p>
        </w:tc>
      </w:tr>
      <w:tr w:rsidR="000638F3" w:rsidRPr="000C3E9F" w14:paraId="56361B2D" w14:textId="77777777" w:rsidTr="00262587">
        <w:trPr>
          <w:jc w:val="center"/>
        </w:trPr>
        <w:tc>
          <w:tcPr>
            <w:tcW w:w="2557" w:type="dxa"/>
            <w:tcBorders>
              <w:top w:val="single" w:sz="4" w:space="0" w:color="auto"/>
              <w:left w:val="single" w:sz="4" w:space="0" w:color="auto"/>
              <w:bottom w:val="single" w:sz="4" w:space="0" w:color="auto"/>
              <w:right w:val="single" w:sz="4" w:space="0" w:color="auto"/>
            </w:tcBorders>
            <w:vAlign w:val="center"/>
            <w:hideMark/>
          </w:tcPr>
          <w:p w14:paraId="372B4BB3" w14:textId="77777777" w:rsidR="000638F3" w:rsidRPr="000C3E9F" w:rsidRDefault="005011B8" w:rsidP="00262587">
            <w:pPr>
              <w:jc w:val="center"/>
              <w:rPr>
                <w:szCs w:val="24"/>
              </w:rPr>
            </w:pPr>
            <w:r w:rsidRPr="000C3E9F">
              <w:rPr>
                <w:szCs w:val="24"/>
                <w:lang w:val="en-US"/>
              </w:rPr>
              <w:t>Elongation</w:t>
            </w:r>
            <w:r w:rsidR="000638F3" w:rsidRPr="000C3E9F">
              <w:rPr>
                <w:szCs w:val="24"/>
              </w:rPr>
              <w:t xml:space="preserve">, </w:t>
            </w:r>
            <w:proofErr w:type="spellStart"/>
            <w:r w:rsidR="00F40FCE" w:rsidRPr="000C3E9F">
              <w:rPr>
                <w:szCs w:val="24"/>
              </w:rPr>
              <w:t>mm</w:t>
            </w:r>
            <w:proofErr w:type="spellEnd"/>
          </w:p>
        </w:tc>
        <w:tc>
          <w:tcPr>
            <w:tcW w:w="1690" w:type="dxa"/>
            <w:tcBorders>
              <w:top w:val="single" w:sz="4" w:space="0" w:color="auto"/>
              <w:left w:val="single" w:sz="4" w:space="0" w:color="auto"/>
              <w:bottom w:val="single" w:sz="4" w:space="0" w:color="auto"/>
              <w:right w:val="single" w:sz="4" w:space="0" w:color="auto"/>
            </w:tcBorders>
            <w:vAlign w:val="center"/>
            <w:hideMark/>
          </w:tcPr>
          <w:p w14:paraId="1303E786" w14:textId="77777777" w:rsidR="000638F3" w:rsidRPr="000C3E9F" w:rsidRDefault="000638F3" w:rsidP="00262587">
            <w:pPr>
              <w:jc w:val="center"/>
              <w:rPr>
                <w:szCs w:val="24"/>
              </w:rPr>
            </w:pPr>
            <w:r w:rsidRPr="000C3E9F">
              <w:rPr>
                <w:szCs w:val="24"/>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D5BCD3" w14:textId="77777777" w:rsidR="000638F3" w:rsidRPr="000C3E9F" w:rsidRDefault="000638F3" w:rsidP="00262587">
            <w:pPr>
              <w:jc w:val="center"/>
              <w:rPr>
                <w:szCs w:val="24"/>
              </w:rPr>
            </w:pPr>
            <w:r w:rsidRPr="000C3E9F">
              <w:rPr>
                <w:szCs w:val="24"/>
              </w:rPr>
              <w:t>23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DB9A684" w14:textId="77777777" w:rsidR="000638F3" w:rsidRPr="000C3E9F" w:rsidRDefault="000638F3" w:rsidP="00262587">
            <w:pPr>
              <w:jc w:val="center"/>
              <w:rPr>
                <w:szCs w:val="24"/>
              </w:rPr>
            </w:pPr>
            <w:r w:rsidRPr="000C3E9F">
              <w:rPr>
                <w:szCs w:val="24"/>
              </w:rPr>
              <w:t>34</w:t>
            </w:r>
          </w:p>
        </w:tc>
      </w:tr>
    </w:tbl>
    <w:p w14:paraId="74BD65AF" w14:textId="77777777" w:rsidR="005011B8" w:rsidRPr="000C3E9F" w:rsidRDefault="005011B8" w:rsidP="005011B8">
      <w:pPr>
        <w:ind w:firstLine="708"/>
        <w:rPr>
          <w:sz w:val="28"/>
          <w:szCs w:val="24"/>
          <w:lang w:val="en-US"/>
        </w:rPr>
      </w:pPr>
      <w:r w:rsidRPr="000C3E9F">
        <w:rPr>
          <w:sz w:val="28"/>
          <w:szCs w:val="24"/>
          <w:lang w:val="en-US"/>
        </w:rPr>
        <w:t>Thus, during the experiment ...</w:t>
      </w:r>
    </w:p>
    <w:p w14:paraId="20F2F0B3" w14:textId="77777777" w:rsidR="00D607C5" w:rsidRPr="000C3E9F" w:rsidRDefault="005011B8" w:rsidP="00D607C5">
      <w:pPr>
        <w:jc w:val="center"/>
        <w:rPr>
          <w:rFonts w:eastAsia="PMingLiU"/>
          <w:sz w:val="28"/>
          <w:szCs w:val="32"/>
          <w:lang w:val="en-US" w:eastAsia="zh-TW"/>
        </w:rPr>
      </w:pPr>
      <w:r w:rsidRPr="000C3E9F">
        <w:rPr>
          <w:b/>
          <w:sz w:val="28"/>
          <w:szCs w:val="32"/>
          <w:lang w:val="en-US"/>
        </w:rPr>
        <w:t>References</w:t>
      </w:r>
    </w:p>
    <w:p w14:paraId="2308BBE6" w14:textId="77777777" w:rsidR="004A08B9" w:rsidRPr="000C3E9F" w:rsidRDefault="004A08B9" w:rsidP="004A08B9">
      <w:pPr>
        <w:pStyle w:val="a6"/>
        <w:numPr>
          <w:ilvl w:val="0"/>
          <w:numId w:val="2"/>
        </w:numPr>
        <w:autoSpaceDE/>
        <w:autoSpaceDN/>
        <w:spacing w:after="120" w:line="259" w:lineRule="auto"/>
        <w:ind w:right="-57"/>
        <w:jc w:val="both"/>
        <w:rPr>
          <w:szCs w:val="28"/>
          <w:lang w:val="en-US"/>
        </w:rPr>
      </w:pPr>
      <w:r w:rsidRPr="000C3E9F">
        <w:rPr>
          <w:i/>
          <w:iCs/>
          <w:szCs w:val="28"/>
          <w:lang w:val="en-US"/>
        </w:rPr>
        <w:t xml:space="preserve">Tennant P., </w:t>
      </w:r>
      <w:proofErr w:type="spellStart"/>
      <w:r w:rsidRPr="000C3E9F">
        <w:rPr>
          <w:i/>
          <w:iCs/>
          <w:szCs w:val="28"/>
          <w:lang w:val="en-US"/>
        </w:rPr>
        <w:t>G’bba</w:t>
      </w:r>
      <w:proofErr w:type="spellEnd"/>
      <w:r w:rsidRPr="000C3E9F">
        <w:rPr>
          <w:i/>
          <w:iCs/>
          <w:szCs w:val="28"/>
          <w:lang w:val="en-US"/>
        </w:rPr>
        <w:t xml:space="preserve"> A., </w:t>
      </w:r>
      <w:proofErr w:type="spellStart"/>
      <w:r w:rsidRPr="000C3E9F">
        <w:rPr>
          <w:i/>
          <w:iCs/>
          <w:szCs w:val="28"/>
          <w:lang w:val="en-US"/>
        </w:rPr>
        <w:t>Roye</w:t>
      </w:r>
      <w:proofErr w:type="spellEnd"/>
      <w:r w:rsidRPr="000C3E9F">
        <w:rPr>
          <w:i/>
          <w:iCs/>
          <w:szCs w:val="28"/>
          <w:lang w:val="en-US"/>
        </w:rPr>
        <w:t xml:space="preserve"> M., Fermin G. </w:t>
      </w:r>
      <w:r w:rsidRPr="000C3E9F">
        <w:rPr>
          <w:szCs w:val="28"/>
          <w:lang w:val="en-US"/>
        </w:rPr>
        <w:t>Viruses: Molecular Biology // Host Interactions, and Applications to Biotechnology. P. 135</w:t>
      </w:r>
      <w:r w:rsidRPr="000C3E9F">
        <w:rPr>
          <w:szCs w:val="28"/>
          <w:lang w:val="en-US"/>
        </w:rPr>
        <w:noBreakHyphen/>
        <w:t>156 (2018).</w:t>
      </w:r>
    </w:p>
    <w:p w14:paraId="211D3B3A" w14:textId="77777777" w:rsidR="004A08B9" w:rsidRPr="000C3E9F" w:rsidRDefault="004A08B9" w:rsidP="004A08B9">
      <w:pPr>
        <w:pStyle w:val="a6"/>
        <w:numPr>
          <w:ilvl w:val="0"/>
          <w:numId w:val="2"/>
        </w:numPr>
        <w:autoSpaceDE/>
        <w:autoSpaceDN/>
        <w:spacing w:after="120" w:line="259" w:lineRule="auto"/>
        <w:ind w:right="-57"/>
        <w:jc w:val="both"/>
        <w:rPr>
          <w:szCs w:val="28"/>
          <w:lang w:val="en-US"/>
        </w:rPr>
      </w:pPr>
      <w:r w:rsidRPr="000C3E9F">
        <w:rPr>
          <w:i/>
          <w:iCs/>
          <w:szCs w:val="28"/>
          <w:lang w:val="en-US"/>
        </w:rPr>
        <w:t>Huang H.-C., Wu M.-T</w:t>
      </w:r>
      <w:r w:rsidRPr="000C3E9F">
        <w:rPr>
          <w:szCs w:val="28"/>
          <w:lang w:val="en-US"/>
        </w:rPr>
        <w:t>. // Plant Pathology Bulletin. 2009. Vol. 18, P. 1</w:t>
      </w:r>
      <w:r w:rsidRPr="000C3E9F">
        <w:rPr>
          <w:szCs w:val="28"/>
          <w:lang w:val="en-US"/>
        </w:rPr>
        <w:noBreakHyphen/>
        <w:t>12.</w:t>
      </w:r>
    </w:p>
    <w:p w14:paraId="7975DD49" w14:textId="77777777" w:rsidR="000248A9" w:rsidRPr="000C3E9F" w:rsidRDefault="000248A9" w:rsidP="000248A9">
      <w:pPr>
        <w:pStyle w:val="a6"/>
        <w:numPr>
          <w:ilvl w:val="0"/>
          <w:numId w:val="2"/>
        </w:numPr>
        <w:autoSpaceDE/>
        <w:autoSpaceDN/>
        <w:spacing w:after="120" w:line="259" w:lineRule="auto"/>
        <w:ind w:right="-57"/>
        <w:jc w:val="both"/>
        <w:rPr>
          <w:szCs w:val="28"/>
          <w:lang w:val="en-US"/>
        </w:rPr>
      </w:pPr>
      <w:r w:rsidRPr="000C3E9F">
        <w:rPr>
          <w:i/>
          <w:iCs/>
          <w:szCs w:val="28"/>
          <w:lang w:val="en-US"/>
        </w:rPr>
        <w:t>Das S. K.</w:t>
      </w:r>
      <w:r w:rsidRPr="000C3E9F">
        <w:rPr>
          <w:szCs w:val="28"/>
          <w:lang w:val="en-US"/>
        </w:rPr>
        <w:t xml:space="preserve"> // J. of Atoms and Molecules. 2014. Vol. 4. P. 45–51.</w:t>
      </w:r>
    </w:p>
    <w:p w14:paraId="39B722B8" w14:textId="77777777" w:rsidR="000248A9" w:rsidRPr="000C3E9F" w:rsidRDefault="000248A9" w:rsidP="000248A9">
      <w:pPr>
        <w:pStyle w:val="a6"/>
        <w:numPr>
          <w:ilvl w:val="0"/>
          <w:numId w:val="2"/>
        </w:numPr>
        <w:autoSpaceDE/>
        <w:autoSpaceDN/>
        <w:spacing w:after="120" w:line="259" w:lineRule="auto"/>
        <w:ind w:right="-57"/>
        <w:jc w:val="both"/>
        <w:rPr>
          <w:szCs w:val="28"/>
          <w:lang w:val="en-US"/>
        </w:rPr>
      </w:pPr>
      <w:r w:rsidRPr="000C3E9F">
        <w:rPr>
          <w:i/>
          <w:iCs/>
          <w:szCs w:val="28"/>
          <w:lang w:val="en-US"/>
        </w:rPr>
        <w:t xml:space="preserve">Y. </w:t>
      </w:r>
      <w:proofErr w:type="spellStart"/>
      <w:r w:rsidRPr="000C3E9F">
        <w:rPr>
          <w:i/>
          <w:iCs/>
          <w:szCs w:val="28"/>
          <w:lang w:val="en-US"/>
        </w:rPr>
        <w:t>Bektas</w:t>
      </w:r>
      <w:proofErr w:type="spellEnd"/>
      <w:r w:rsidRPr="000C3E9F">
        <w:rPr>
          <w:i/>
          <w:iCs/>
          <w:szCs w:val="28"/>
          <w:lang w:val="en-US"/>
        </w:rPr>
        <w:t xml:space="preserve">, </w:t>
      </w:r>
      <w:proofErr w:type="spellStart"/>
      <w:r w:rsidRPr="000C3E9F">
        <w:rPr>
          <w:i/>
          <w:iCs/>
          <w:szCs w:val="28"/>
          <w:lang w:val="en-US"/>
        </w:rPr>
        <w:t>Eulgem</w:t>
      </w:r>
      <w:proofErr w:type="spellEnd"/>
      <w:r w:rsidRPr="000C3E9F">
        <w:rPr>
          <w:i/>
          <w:iCs/>
          <w:szCs w:val="28"/>
          <w:lang w:val="en-US"/>
        </w:rPr>
        <w:t xml:space="preserve"> T. </w:t>
      </w:r>
      <w:r w:rsidRPr="000C3E9F">
        <w:rPr>
          <w:szCs w:val="28"/>
          <w:lang w:val="en-US"/>
        </w:rPr>
        <w:t>// Frontiers in plant science. 2014. Bol. 5. P.1–17.</w:t>
      </w:r>
    </w:p>
    <w:p w14:paraId="41BBC795" w14:textId="77777777" w:rsidR="000248A9" w:rsidRPr="000C3E9F" w:rsidRDefault="000248A9" w:rsidP="000248A9">
      <w:pPr>
        <w:pStyle w:val="a6"/>
        <w:numPr>
          <w:ilvl w:val="0"/>
          <w:numId w:val="2"/>
        </w:numPr>
        <w:autoSpaceDE/>
        <w:autoSpaceDN/>
        <w:spacing w:after="120" w:line="259" w:lineRule="auto"/>
        <w:ind w:right="-57"/>
        <w:jc w:val="both"/>
        <w:rPr>
          <w:szCs w:val="28"/>
          <w:lang w:val="en-US"/>
        </w:rPr>
      </w:pPr>
      <w:proofErr w:type="spellStart"/>
      <w:r w:rsidRPr="000C3E9F">
        <w:rPr>
          <w:i/>
          <w:iCs/>
          <w:szCs w:val="28"/>
          <w:lang w:val="en-US"/>
        </w:rPr>
        <w:t>Kessmann</w:t>
      </w:r>
      <w:proofErr w:type="spellEnd"/>
      <w:r w:rsidRPr="000C3E9F">
        <w:rPr>
          <w:i/>
          <w:iCs/>
          <w:szCs w:val="28"/>
          <w:lang w:val="en-US"/>
        </w:rPr>
        <w:t xml:space="preserve"> H., Staub T., </w:t>
      </w:r>
      <w:proofErr w:type="spellStart"/>
      <w:r w:rsidRPr="000C3E9F">
        <w:rPr>
          <w:i/>
          <w:iCs/>
          <w:szCs w:val="28"/>
          <w:lang w:val="en-US"/>
        </w:rPr>
        <w:t>Ligon</w:t>
      </w:r>
      <w:proofErr w:type="spellEnd"/>
      <w:r w:rsidRPr="000C3E9F">
        <w:rPr>
          <w:i/>
          <w:iCs/>
          <w:szCs w:val="28"/>
          <w:lang w:val="en-US"/>
        </w:rPr>
        <w:t xml:space="preserve"> J., </w:t>
      </w:r>
      <w:proofErr w:type="spellStart"/>
      <w:r w:rsidRPr="000C3E9F">
        <w:rPr>
          <w:i/>
          <w:iCs/>
          <w:szCs w:val="28"/>
          <w:lang w:val="en-US"/>
        </w:rPr>
        <w:t>Oostendorp</w:t>
      </w:r>
      <w:proofErr w:type="spellEnd"/>
      <w:r w:rsidRPr="000C3E9F">
        <w:rPr>
          <w:i/>
          <w:iCs/>
          <w:szCs w:val="28"/>
          <w:lang w:val="en-US"/>
        </w:rPr>
        <w:t xml:space="preserve"> M., </w:t>
      </w:r>
      <w:proofErr w:type="spellStart"/>
      <w:r w:rsidRPr="000C3E9F">
        <w:rPr>
          <w:i/>
          <w:iCs/>
          <w:szCs w:val="28"/>
          <w:lang w:val="en-US"/>
        </w:rPr>
        <w:t>Ryals</w:t>
      </w:r>
      <w:proofErr w:type="spellEnd"/>
      <w:r w:rsidRPr="000C3E9F">
        <w:rPr>
          <w:i/>
          <w:iCs/>
          <w:szCs w:val="28"/>
          <w:lang w:val="en-US"/>
        </w:rPr>
        <w:t xml:space="preserve"> J</w:t>
      </w:r>
      <w:r w:rsidRPr="000C3E9F">
        <w:rPr>
          <w:szCs w:val="28"/>
          <w:lang w:val="en-US"/>
        </w:rPr>
        <w:t xml:space="preserve">. // European J. of Plant Pathology 100. 1994. P. 359–369. </w:t>
      </w:r>
    </w:p>
    <w:p w14:paraId="5BE477B1" w14:textId="77777777" w:rsidR="000248A9" w:rsidRPr="000C3E9F" w:rsidRDefault="000248A9" w:rsidP="000248A9">
      <w:pPr>
        <w:pStyle w:val="a6"/>
        <w:numPr>
          <w:ilvl w:val="0"/>
          <w:numId w:val="2"/>
        </w:numPr>
        <w:autoSpaceDE/>
        <w:autoSpaceDN/>
        <w:spacing w:after="120" w:line="259" w:lineRule="auto"/>
        <w:ind w:right="-57"/>
        <w:jc w:val="both"/>
        <w:rPr>
          <w:szCs w:val="28"/>
          <w:lang w:val="en-US"/>
        </w:rPr>
      </w:pPr>
      <w:r w:rsidRPr="000C3E9F">
        <w:rPr>
          <w:i/>
          <w:iCs/>
          <w:szCs w:val="28"/>
          <w:lang w:val="en-US"/>
        </w:rPr>
        <w:t xml:space="preserve">Zine H., Rifai L. A., </w:t>
      </w:r>
      <w:proofErr w:type="spellStart"/>
      <w:r w:rsidRPr="000C3E9F">
        <w:rPr>
          <w:i/>
          <w:iCs/>
          <w:szCs w:val="28"/>
          <w:lang w:val="en-US"/>
        </w:rPr>
        <w:t>Faize</w:t>
      </w:r>
      <w:proofErr w:type="spellEnd"/>
      <w:r w:rsidRPr="000C3E9F">
        <w:rPr>
          <w:i/>
          <w:iCs/>
          <w:szCs w:val="28"/>
          <w:lang w:val="en-US"/>
        </w:rPr>
        <w:t xml:space="preserve"> M., </w:t>
      </w:r>
      <w:proofErr w:type="spellStart"/>
      <w:r w:rsidRPr="000C3E9F">
        <w:rPr>
          <w:i/>
          <w:iCs/>
          <w:szCs w:val="28"/>
          <w:lang w:val="en-US"/>
        </w:rPr>
        <w:t>Bentiss</w:t>
      </w:r>
      <w:proofErr w:type="spellEnd"/>
      <w:r w:rsidRPr="000C3E9F">
        <w:rPr>
          <w:i/>
          <w:iCs/>
          <w:szCs w:val="28"/>
          <w:lang w:val="en-US"/>
        </w:rPr>
        <w:t xml:space="preserve"> F., </w:t>
      </w:r>
      <w:proofErr w:type="spellStart"/>
      <w:r w:rsidRPr="000C3E9F">
        <w:rPr>
          <w:i/>
          <w:iCs/>
          <w:szCs w:val="28"/>
          <w:lang w:val="en-US"/>
        </w:rPr>
        <w:t>Guesmi</w:t>
      </w:r>
      <w:proofErr w:type="spellEnd"/>
      <w:r w:rsidRPr="000C3E9F">
        <w:rPr>
          <w:i/>
          <w:iCs/>
          <w:szCs w:val="28"/>
          <w:lang w:val="en-US"/>
        </w:rPr>
        <w:t xml:space="preserve"> S., </w:t>
      </w:r>
      <w:proofErr w:type="spellStart"/>
      <w:r w:rsidRPr="000C3E9F">
        <w:rPr>
          <w:i/>
          <w:iCs/>
          <w:szCs w:val="28"/>
          <w:lang w:val="en-US"/>
        </w:rPr>
        <w:t>Laachir</w:t>
      </w:r>
      <w:proofErr w:type="spellEnd"/>
      <w:r w:rsidRPr="000C3E9F">
        <w:rPr>
          <w:i/>
          <w:iCs/>
          <w:szCs w:val="28"/>
          <w:lang w:val="en-US"/>
        </w:rPr>
        <w:t xml:space="preserve"> A., </w:t>
      </w:r>
      <w:proofErr w:type="spellStart"/>
      <w:r w:rsidRPr="000C3E9F">
        <w:rPr>
          <w:i/>
          <w:iCs/>
          <w:szCs w:val="28"/>
          <w:lang w:val="en-US"/>
        </w:rPr>
        <w:t>Smaili</w:t>
      </w:r>
      <w:proofErr w:type="spellEnd"/>
      <w:r w:rsidRPr="000C3E9F">
        <w:rPr>
          <w:i/>
          <w:iCs/>
          <w:szCs w:val="28"/>
          <w:lang w:val="en-US"/>
        </w:rPr>
        <w:t xml:space="preserve"> A., </w:t>
      </w:r>
      <w:proofErr w:type="spellStart"/>
      <w:r w:rsidRPr="000C3E9F">
        <w:rPr>
          <w:i/>
          <w:iCs/>
          <w:szCs w:val="28"/>
          <w:lang w:val="en-US"/>
        </w:rPr>
        <w:t>Makroum</w:t>
      </w:r>
      <w:proofErr w:type="spellEnd"/>
      <w:r w:rsidRPr="000C3E9F">
        <w:rPr>
          <w:i/>
          <w:iCs/>
          <w:szCs w:val="28"/>
          <w:lang w:val="en-US"/>
        </w:rPr>
        <w:t xml:space="preserve"> K., </w:t>
      </w:r>
      <w:proofErr w:type="spellStart"/>
      <w:r w:rsidRPr="000C3E9F">
        <w:rPr>
          <w:i/>
          <w:iCs/>
          <w:szCs w:val="28"/>
          <w:lang w:val="en-US"/>
        </w:rPr>
        <w:t>Sahibed</w:t>
      </w:r>
      <w:proofErr w:type="spellEnd"/>
      <w:r w:rsidRPr="000C3E9F">
        <w:rPr>
          <w:i/>
          <w:iCs/>
          <w:szCs w:val="28"/>
          <w:lang w:val="en-US"/>
        </w:rPr>
        <w:t xml:space="preserve">-dine A., </w:t>
      </w:r>
      <w:proofErr w:type="spellStart"/>
      <w:r w:rsidRPr="000C3E9F">
        <w:rPr>
          <w:i/>
          <w:iCs/>
          <w:szCs w:val="28"/>
          <w:lang w:val="en-US"/>
        </w:rPr>
        <w:t>Koussa</w:t>
      </w:r>
      <w:proofErr w:type="spellEnd"/>
      <w:r w:rsidRPr="000C3E9F">
        <w:rPr>
          <w:i/>
          <w:iCs/>
          <w:szCs w:val="28"/>
          <w:lang w:val="en-US"/>
        </w:rPr>
        <w:t xml:space="preserve"> T</w:t>
      </w:r>
      <w:r w:rsidRPr="000C3E9F">
        <w:rPr>
          <w:szCs w:val="28"/>
          <w:lang w:val="en-US"/>
        </w:rPr>
        <w:t xml:space="preserve">. // J. of Agricultural and Food Chemistry. 2016. Vol. 64. P. 2661 – 2667. </w:t>
      </w:r>
    </w:p>
    <w:p w14:paraId="66D0B5F6" w14:textId="77777777" w:rsidR="000248A9" w:rsidRPr="000C3E9F" w:rsidRDefault="000248A9" w:rsidP="000248A9">
      <w:pPr>
        <w:pStyle w:val="a6"/>
        <w:numPr>
          <w:ilvl w:val="0"/>
          <w:numId w:val="2"/>
        </w:numPr>
        <w:autoSpaceDE/>
        <w:autoSpaceDN/>
        <w:spacing w:after="120" w:line="259" w:lineRule="auto"/>
        <w:ind w:right="-57"/>
        <w:jc w:val="both"/>
        <w:rPr>
          <w:szCs w:val="28"/>
          <w:lang w:val="en-US"/>
        </w:rPr>
      </w:pPr>
      <w:r w:rsidRPr="000C3E9F">
        <w:rPr>
          <w:i/>
          <w:iCs/>
          <w:szCs w:val="28"/>
          <w:lang w:val="en-US"/>
        </w:rPr>
        <w:t xml:space="preserve">Sakurai S., Ohara T., Morimoto M., Kondo N., </w:t>
      </w:r>
      <w:proofErr w:type="spellStart"/>
      <w:r w:rsidRPr="000C3E9F">
        <w:rPr>
          <w:i/>
          <w:iCs/>
          <w:szCs w:val="28"/>
          <w:lang w:val="en-US"/>
        </w:rPr>
        <w:t>Ikishima</w:t>
      </w:r>
      <w:proofErr w:type="spellEnd"/>
      <w:r w:rsidRPr="000C3E9F">
        <w:rPr>
          <w:i/>
          <w:iCs/>
          <w:szCs w:val="28"/>
          <w:lang w:val="en-US"/>
        </w:rPr>
        <w:t xml:space="preserve"> H. </w:t>
      </w:r>
      <w:r w:rsidRPr="000C3E9F">
        <w:rPr>
          <w:szCs w:val="28"/>
          <w:lang w:val="en-US"/>
        </w:rPr>
        <w:t xml:space="preserve">WO Patent No. 2015/141867 (24 September 2015). </w:t>
      </w:r>
    </w:p>
    <w:p w14:paraId="6FE19773" w14:textId="77777777" w:rsidR="000248A9" w:rsidRPr="000C3E9F" w:rsidRDefault="000248A9" w:rsidP="000248A9">
      <w:pPr>
        <w:pStyle w:val="a6"/>
        <w:numPr>
          <w:ilvl w:val="0"/>
          <w:numId w:val="2"/>
        </w:numPr>
        <w:autoSpaceDE/>
        <w:autoSpaceDN/>
        <w:spacing w:after="120" w:line="259" w:lineRule="auto"/>
        <w:ind w:right="-57" w:hanging="294"/>
        <w:jc w:val="both"/>
        <w:rPr>
          <w:sz w:val="22"/>
          <w:lang w:val="en-US"/>
        </w:rPr>
      </w:pPr>
      <w:r w:rsidRPr="000C3E9F">
        <w:rPr>
          <w:i/>
          <w:iCs/>
          <w:szCs w:val="28"/>
          <w:lang w:val="en-US"/>
        </w:rPr>
        <w:t xml:space="preserve">Fan </w:t>
      </w:r>
      <w:proofErr w:type="spellStart"/>
      <w:r w:rsidRPr="000C3E9F">
        <w:rPr>
          <w:i/>
          <w:iCs/>
          <w:szCs w:val="28"/>
          <w:lang w:val="en-US"/>
        </w:rPr>
        <w:t>Zh</w:t>
      </w:r>
      <w:proofErr w:type="spellEnd"/>
      <w:r w:rsidRPr="000C3E9F">
        <w:rPr>
          <w:i/>
          <w:iCs/>
          <w:szCs w:val="28"/>
          <w:lang w:val="en-US"/>
        </w:rPr>
        <w:t xml:space="preserve">.-J., Shi Z., Zhang H., Liu X., Bao L., Ma L., </w:t>
      </w:r>
      <w:proofErr w:type="spellStart"/>
      <w:r w:rsidRPr="000C3E9F">
        <w:rPr>
          <w:i/>
          <w:iCs/>
          <w:szCs w:val="28"/>
          <w:lang w:val="en-US"/>
        </w:rPr>
        <w:t>Zuo</w:t>
      </w:r>
      <w:proofErr w:type="spellEnd"/>
      <w:r w:rsidRPr="000C3E9F">
        <w:rPr>
          <w:i/>
          <w:iCs/>
          <w:szCs w:val="28"/>
          <w:lang w:val="en-US"/>
        </w:rPr>
        <w:t xml:space="preserve"> X., Zheng Q., Mi N. </w:t>
      </w:r>
      <w:r w:rsidRPr="000C3E9F">
        <w:rPr>
          <w:szCs w:val="28"/>
          <w:lang w:val="en-US"/>
        </w:rPr>
        <w:t>// J. of Agricultural and Food Chemistry. 2009. Vol. 57. P. 4279–4286.</w:t>
      </w:r>
    </w:p>
    <w:p w14:paraId="3C7C04FF" w14:textId="77777777" w:rsidR="000248A9" w:rsidRPr="000C3E9F" w:rsidRDefault="000248A9" w:rsidP="000248A9">
      <w:pPr>
        <w:pStyle w:val="a6"/>
        <w:numPr>
          <w:ilvl w:val="0"/>
          <w:numId w:val="2"/>
        </w:numPr>
        <w:autoSpaceDE/>
        <w:autoSpaceDN/>
        <w:spacing w:after="120" w:line="259" w:lineRule="auto"/>
        <w:ind w:right="-57" w:hanging="294"/>
        <w:jc w:val="both"/>
        <w:rPr>
          <w:sz w:val="22"/>
          <w:lang w:val="en-US"/>
        </w:rPr>
      </w:pPr>
      <w:proofErr w:type="spellStart"/>
      <w:r w:rsidRPr="000C3E9F">
        <w:rPr>
          <w:i/>
          <w:iCs/>
          <w:szCs w:val="28"/>
          <w:lang w:val="en-US"/>
        </w:rPr>
        <w:t>Kalinina</w:t>
      </w:r>
      <w:proofErr w:type="spellEnd"/>
      <w:r w:rsidRPr="000C3E9F">
        <w:rPr>
          <w:i/>
          <w:iCs/>
          <w:szCs w:val="28"/>
          <w:lang w:val="en-US"/>
        </w:rPr>
        <w:t xml:space="preserve"> T. A., </w:t>
      </w:r>
      <w:proofErr w:type="spellStart"/>
      <w:r w:rsidRPr="000C3E9F">
        <w:rPr>
          <w:i/>
          <w:iCs/>
          <w:szCs w:val="28"/>
          <w:lang w:val="en-US"/>
        </w:rPr>
        <w:t>Shakhmina</w:t>
      </w:r>
      <w:proofErr w:type="spellEnd"/>
      <w:r w:rsidRPr="000C3E9F">
        <w:rPr>
          <w:i/>
          <w:iCs/>
          <w:szCs w:val="28"/>
          <w:lang w:val="en-US"/>
        </w:rPr>
        <w:t xml:space="preserve"> Y. S., </w:t>
      </w:r>
      <w:proofErr w:type="spellStart"/>
      <w:r w:rsidRPr="000C3E9F">
        <w:rPr>
          <w:i/>
          <w:iCs/>
          <w:szCs w:val="28"/>
          <w:lang w:val="en-US"/>
        </w:rPr>
        <w:t>Glukhareva</w:t>
      </w:r>
      <w:proofErr w:type="spellEnd"/>
      <w:r w:rsidRPr="000C3E9F">
        <w:rPr>
          <w:i/>
          <w:iCs/>
          <w:szCs w:val="28"/>
          <w:lang w:val="en-US"/>
        </w:rPr>
        <w:t xml:space="preserve"> T. V., </w:t>
      </w:r>
      <w:proofErr w:type="spellStart"/>
      <w:r w:rsidRPr="000C3E9F">
        <w:rPr>
          <w:i/>
          <w:iCs/>
          <w:szCs w:val="28"/>
          <w:lang w:val="en-US"/>
        </w:rPr>
        <w:t>Morzherin</w:t>
      </w:r>
      <w:proofErr w:type="spellEnd"/>
      <w:r w:rsidRPr="000C3E9F">
        <w:rPr>
          <w:i/>
          <w:iCs/>
          <w:szCs w:val="28"/>
          <w:lang w:val="en-US"/>
        </w:rPr>
        <w:t xml:space="preserve"> Y. Y., Fan Z.-J., </w:t>
      </w:r>
      <w:proofErr w:type="spellStart"/>
      <w:r w:rsidRPr="000C3E9F">
        <w:rPr>
          <w:i/>
          <w:iCs/>
          <w:szCs w:val="28"/>
          <w:lang w:val="en-US"/>
        </w:rPr>
        <w:t>Borzenkova</w:t>
      </w:r>
      <w:proofErr w:type="spellEnd"/>
      <w:r w:rsidRPr="000C3E9F">
        <w:rPr>
          <w:i/>
          <w:iCs/>
          <w:szCs w:val="28"/>
          <w:lang w:val="en-US"/>
        </w:rPr>
        <w:t xml:space="preserve"> R. A., </w:t>
      </w:r>
      <w:proofErr w:type="spellStart"/>
      <w:r w:rsidRPr="000C3E9F">
        <w:rPr>
          <w:i/>
          <w:iCs/>
          <w:szCs w:val="28"/>
          <w:lang w:val="en-US"/>
        </w:rPr>
        <w:t>Skolobanova</w:t>
      </w:r>
      <w:proofErr w:type="spellEnd"/>
      <w:r w:rsidRPr="000C3E9F">
        <w:rPr>
          <w:i/>
          <w:iCs/>
          <w:szCs w:val="28"/>
          <w:lang w:val="en-US"/>
        </w:rPr>
        <w:t xml:space="preserve"> E. S., </w:t>
      </w:r>
      <w:proofErr w:type="spellStart"/>
      <w:r w:rsidRPr="000C3E9F">
        <w:rPr>
          <w:i/>
          <w:iCs/>
          <w:szCs w:val="28"/>
          <w:lang w:val="en-US"/>
        </w:rPr>
        <w:t>Kiseleva</w:t>
      </w:r>
      <w:proofErr w:type="spellEnd"/>
      <w:r w:rsidRPr="000C3E9F">
        <w:rPr>
          <w:i/>
          <w:iCs/>
          <w:szCs w:val="28"/>
          <w:lang w:val="en-US"/>
        </w:rPr>
        <w:t xml:space="preserve"> I. S. </w:t>
      </w:r>
      <w:r w:rsidRPr="000C3E9F">
        <w:rPr>
          <w:szCs w:val="28"/>
          <w:lang w:val="en-US"/>
        </w:rPr>
        <w:t>// J. of Heterocyclic Compounds. 2014. Vol. 50. P. 1039–1046.</w:t>
      </w:r>
    </w:p>
    <w:p w14:paraId="7CD88BF7" w14:textId="77777777" w:rsidR="000248A9" w:rsidRPr="004160D8" w:rsidRDefault="000248A9" w:rsidP="000248A9">
      <w:pPr>
        <w:pStyle w:val="a6"/>
        <w:autoSpaceDE/>
        <w:autoSpaceDN/>
        <w:spacing w:after="120" w:line="259" w:lineRule="auto"/>
        <w:ind w:right="-57"/>
        <w:jc w:val="both"/>
        <w:rPr>
          <w:szCs w:val="28"/>
          <w:lang w:val="en-US"/>
        </w:rPr>
      </w:pPr>
    </w:p>
    <w:sectPr w:rsidR="000248A9" w:rsidRPr="004160D8" w:rsidSect="0021536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3629D"/>
    <w:multiLevelType w:val="multilevel"/>
    <w:tmpl w:val="15F26930"/>
    <w:lvl w:ilvl="0">
      <w:start w:val="1"/>
      <w:numFmt w:val="decimal"/>
      <w:lvlText w:val="%1."/>
      <w:lvlJc w:val="left"/>
      <w:pPr>
        <w:tabs>
          <w:tab w:val="num" w:pos="1060"/>
        </w:tabs>
        <w:ind w:left="1060" w:hanging="360"/>
      </w:pPr>
    </w:lvl>
    <w:lvl w:ilvl="1">
      <w:start w:val="1"/>
      <w:numFmt w:val="bullet"/>
      <w:lvlText w:val="o"/>
      <w:lvlJc w:val="left"/>
      <w:pPr>
        <w:tabs>
          <w:tab w:val="num" w:pos="1780"/>
        </w:tabs>
        <w:ind w:left="1780" w:hanging="360"/>
      </w:pPr>
      <w:rPr>
        <w:rFonts w:ascii="Courier New" w:hAnsi="Courier New" w:hint="default"/>
        <w:sz w:val="20"/>
      </w:rPr>
    </w:lvl>
    <w:lvl w:ilvl="2" w:tentative="1">
      <w:start w:val="1"/>
      <w:numFmt w:val="decimal"/>
      <w:lvlText w:val="%3."/>
      <w:lvlJc w:val="left"/>
      <w:pPr>
        <w:tabs>
          <w:tab w:val="num" w:pos="2500"/>
        </w:tabs>
        <w:ind w:left="2500" w:hanging="360"/>
      </w:pPr>
    </w:lvl>
    <w:lvl w:ilvl="3" w:tentative="1">
      <w:start w:val="1"/>
      <w:numFmt w:val="decimal"/>
      <w:lvlText w:val="%4."/>
      <w:lvlJc w:val="left"/>
      <w:pPr>
        <w:tabs>
          <w:tab w:val="num" w:pos="3220"/>
        </w:tabs>
        <w:ind w:left="3220" w:hanging="360"/>
      </w:pPr>
    </w:lvl>
    <w:lvl w:ilvl="4" w:tentative="1">
      <w:start w:val="1"/>
      <w:numFmt w:val="decimal"/>
      <w:lvlText w:val="%5."/>
      <w:lvlJc w:val="left"/>
      <w:pPr>
        <w:tabs>
          <w:tab w:val="num" w:pos="3940"/>
        </w:tabs>
        <w:ind w:left="3940" w:hanging="360"/>
      </w:pPr>
    </w:lvl>
    <w:lvl w:ilvl="5" w:tentative="1">
      <w:start w:val="1"/>
      <w:numFmt w:val="decimal"/>
      <w:lvlText w:val="%6."/>
      <w:lvlJc w:val="left"/>
      <w:pPr>
        <w:tabs>
          <w:tab w:val="num" w:pos="4660"/>
        </w:tabs>
        <w:ind w:left="4660" w:hanging="360"/>
      </w:pPr>
    </w:lvl>
    <w:lvl w:ilvl="6" w:tentative="1">
      <w:start w:val="1"/>
      <w:numFmt w:val="decimal"/>
      <w:lvlText w:val="%7."/>
      <w:lvlJc w:val="left"/>
      <w:pPr>
        <w:tabs>
          <w:tab w:val="num" w:pos="5380"/>
        </w:tabs>
        <w:ind w:left="5380" w:hanging="360"/>
      </w:pPr>
    </w:lvl>
    <w:lvl w:ilvl="7" w:tentative="1">
      <w:start w:val="1"/>
      <w:numFmt w:val="decimal"/>
      <w:lvlText w:val="%8."/>
      <w:lvlJc w:val="left"/>
      <w:pPr>
        <w:tabs>
          <w:tab w:val="num" w:pos="6100"/>
        </w:tabs>
        <w:ind w:left="6100" w:hanging="360"/>
      </w:pPr>
    </w:lvl>
    <w:lvl w:ilvl="8" w:tentative="1">
      <w:start w:val="1"/>
      <w:numFmt w:val="decimal"/>
      <w:lvlText w:val="%9."/>
      <w:lvlJc w:val="left"/>
      <w:pPr>
        <w:tabs>
          <w:tab w:val="num" w:pos="6820"/>
        </w:tabs>
        <w:ind w:left="6820" w:hanging="360"/>
      </w:pPr>
    </w:lvl>
  </w:abstractNum>
  <w:abstractNum w:abstractNumId="1" w15:restartNumberingAfterBreak="0">
    <w:nsid w:val="3FF96ADD"/>
    <w:multiLevelType w:val="multilevel"/>
    <w:tmpl w:val="15F26930"/>
    <w:lvl w:ilvl="0">
      <w:start w:val="1"/>
      <w:numFmt w:val="decimal"/>
      <w:lvlText w:val="%1."/>
      <w:lvlJc w:val="left"/>
      <w:pPr>
        <w:tabs>
          <w:tab w:val="num" w:pos="1060"/>
        </w:tabs>
        <w:ind w:left="1060" w:hanging="360"/>
      </w:pPr>
    </w:lvl>
    <w:lvl w:ilvl="1">
      <w:start w:val="1"/>
      <w:numFmt w:val="bullet"/>
      <w:lvlText w:val="o"/>
      <w:lvlJc w:val="left"/>
      <w:pPr>
        <w:tabs>
          <w:tab w:val="num" w:pos="1780"/>
        </w:tabs>
        <w:ind w:left="1780" w:hanging="360"/>
      </w:pPr>
      <w:rPr>
        <w:rFonts w:ascii="Courier New" w:hAnsi="Courier New" w:hint="default"/>
        <w:sz w:val="20"/>
      </w:rPr>
    </w:lvl>
    <w:lvl w:ilvl="2" w:tentative="1">
      <w:start w:val="1"/>
      <w:numFmt w:val="decimal"/>
      <w:lvlText w:val="%3."/>
      <w:lvlJc w:val="left"/>
      <w:pPr>
        <w:tabs>
          <w:tab w:val="num" w:pos="2500"/>
        </w:tabs>
        <w:ind w:left="2500" w:hanging="360"/>
      </w:pPr>
    </w:lvl>
    <w:lvl w:ilvl="3" w:tentative="1">
      <w:start w:val="1"/>
      <w:numFmt w:val="decimal"/>
      <w:lvlText w:val="%4."/>
      <w:lvlJc w:val="left"/>
      <w:pPr>
        <w:tabs>
          <w:tab w:val="num" w:pos="3220"/>
        </w:tabs>
        <w:ind w:left="3220" w:hanging="360"/>
      </w:pPr>
    </w:lvl>
    <w:lvl w:ilvl="4" w:tentative="1">
      <w:start w:val="1"/>
      <w:numFmt w:val="decimal"/>
      <w:lvlText w:val="%5."/>
      <w:lvlJc w:val="left"/>
      <w:pPr>
        <w:tabs>
          <w:tab w:val="num" w:pos="3940"/>
        </w:tabs>
        <w:ind w:left="3940" w:hanging="360"/>
      </w:pPr>
    </w:lvl>
    <w:lvl w:ilvl="5" w:tentative="1">
      <w:start w:val="1"/>
      <w:numFmt w:val="decimal"/>
      <w:lvlText w:val="%6."/>
      <w:lvlJc w:val="left"/>
      <w:pPr>
        <w:tabs>
          <w:tab w:val="num" w:pos="4660"/>
        </w:tabs>
        <w:ind w:left="4660" w:hanging="360"/>
      </w:pPr>
    </w:lvl>
    <w:lvl w:ilvl="6" w:tentative="1">
      <w:start w:val="1"/>
      <w:numFmt w:val="decimal"/>
      <w:lvlText w:val="%7."/>
      <w:lvlJc w:val="left"/>
      <w:pPr>
        <w:tabs>
          <w:tab w:val="num" w:pos="5380"/>
        </w:tabs>
        <w:ind w:left="5380" w:hanging="360"/>
      </w:pPr>
    </w:lvl>
    <w:lvl w:ilvl="7" w:tentative="1">
      <w:start w:val="1"/>
      <w:numFmt w:val="decimal"/>
      <w:lvlText w:val="%8."/>
      <w:lvlJc w:val="left"/>
      <w:pPr>
        <w:tabs>
          <w:tab w:val="num" w:pos="6100"/>
        </w:tabs>
        <w:ind w:left="6100" w:hanging="360"/>
      </w:pPr>
    </w:lvl>
    <w:lvl w:ilvl="8" w:tentative="1">
      <w:start w:val="1"/>
      <w:numFmt w:val="decimal"/>
      <w:lvlText w:val="%9."/>
      <w:lvlJc w:val="left"/>
      <w:pPr>
        <w:tabs>
          <w:tab w:val="num" w:pos="6820"/>
        </w:tabs>
        <w:ind w:left="6820" w:hanging="360"/>
      </w:pPr>
    </w:lvl>
  </w:abstractNum>
  <w:abstractNum w:abstractNumId="2" w15:restartNumberingAfterBreak="0">
    <w:nsid w:val="56070F81"/>
    <w:multiLevelType w:val="multilevel"/>
    <w:tmpl w:val="15F26930"/>
    <w:lvl w:ilvl="0">
      <w:start w:val="1"/>
      <w:numFmt w:val="decimal"/>
      <w:lvlText w:val="%1."/>
      <w:lvlJc w:val="left"/>
      <w:pPr>
        <w:tabs>
          <w:tab w:val="num" w:pos="1060"/>
        </w:tabs>
        <w:ind w:left="1060" w:hanging="360"/>
      </w:pPr>
    </w:lvl>
    <w:lvl w:ilvl="1">
      <w:start w:val="1"/>
      <w:numFmt w:val="bullet"/>
      <w:lvlText w:val="o"/>
      <w:lvlJc w:val="left"/>
      <w:pPr>
        <w:tabs>
          <w:tab w:val="num" w:pos="1780"/>
        </w:tabs>
        <w:ind w:left="1780" w:hanging="360"/>
      </w:pPr>
      <w:rPr>
        <w:rFonts w:ascii="Courier New" w:hAnsi="Courier New" w:hint="default"/>
        <w:sz w:val="20"/>
      </w:rPr>
    </w:lvl>
    <w:lvl w:ilvl="2" w:tentative="1">
      <w:start w:val="1"/>
      <w:numFmt w:val="decimal"/>
      <w:lvlText w:val="%3."/>
      <w:lvlJc w:val="left"/>
      <w:pPr>
        <w:tabs>
          <w:tab w:val="num" w:pos="2500"/>
        </w:tabs>
        <w:ind w:left="2500" w:hanging="360"/>
      </w:pPr>
    </w:lvl>
    <w:lvl w:ilvl="3" w:tentative="1">
      <w:start w:val="1"/>
      <w:numFmt w:val="decimal"/>
      <w:lvlText w:val="%4."/>
      <w:lvlJc w:val="left"/>
      <w:pPr>
        <w:tabs>
          <w:tab w:val="num" w:pos="3220"/>
        </w:tabs>
        <w:ind w:left="3220" w:hanging="360"/>
      </w:pPr>
    </w:lvl>
    <w:lvl w:ilvl="4" w:tentative="1">
      <w:start w:val="1"/>
      <w:numFmt w:val="decimal"/>
      <w:lvlText w:val="%5."/>
      <w:lvlJc w:val="left"/>
      <w:pPr>
        <w:tabs>
          <w:tab w:val="num" w:pos="3940"/>
        </w:tabs>
        <w:ind w:left="3940" w:hanging="360"/>
      </w:pPr>
    </w:lvl>
    <w:lvl w:ilvl="5" w:tentative="1">
      <w:start w:val="1"/>
      <w:numFmt w:val="decimal"/>
      <w:lvlText w:val="%6."/>
      <w:lvlJc w:val="left"/>
      <w:pPr>
        <w:tabs>
          <w:tab w:val="num" w:pos="4660"/>
        </w:tabs>
        <w:ind w:left="4660" w:hanging="360"/>
      </w:pPr>
    </w:lvl>
    <w:lvl w:ilvl="6" w:tentative="1">
      <w:start w:val="1"/>
      <w:numFmt w:val="decimal"/>
      <w:lvlText w:val="%7."/>
      <w:lvlJc w:val="left"/>
      <w:pPr>
        <w:tabs>
          <w:tab w:val="num" w:pos="5380"/>
        </w:tabs>
        <w:ind w:left="5380" w:hanging="360"/>
      </w:pPr>
    </w:lvl>
    <w:lvl w:ilvl="7" w:tentative="1">
      <w:start w:val="1"/>
      <w:numFmt w:val="decimal"/>
      <w:lvlText w:val="%8."/>
      <w:lvlJc w:val="left"/>
      <w:pPr>
        <w:tabs>
          <w:tab w:val="num" w:pos="6100"/>
        </w:tabs>
        <w:ind w:left="6100" w:hanging="360"/>
      </w:pPr>
    </w:lvl>
    <w:lvl w:ilvl="8" w:tentative="1">
      <w:start w:val="1"/>
      <w:numFmt w:val="decimal"/>
      <w:lvlText w:val="%9."/>
      <w:lvlJc w:val="left"/>
      <w:pPr>
        <w:tabs>
          <w:tab w:val="num" w:pos="6820"/>
        </w:tabs>
        <w:ind w:left="6820" w:hanging="360"/>
      </w:pPr>
    </w:lvl>
  </w:abstractNum>
  <w:abstractNum w:abstractNumId="3"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C5"/>
    <w:rsid w:val="00006FC3"/>
    <w:rsid w:val="000248A9"/>
    <w:rsid w:val="000258D2"/>
    <w:rsid w:val="00027DAC"/>
    <w:rsid w:val="000312E1"/>
    <w:rsid w:val="000638F3"/>
    <w:rsid w:val="00074D65"/>
    <w:rsid w:val="0007507B"/>
    <w:rsid w:val="000822D5"/>
    <w:rsid w:val="00084A6B"/>
    <w:rsid w:val="00093393"/>
    <w:rsid w:val="000B48CF"/>
    <w:rsid w:val="000C3E9F"/>
    <w:rsid w:val="000D04C7"/>
    <w:rsid w:val="000D2E6B"/>
    <w:rsid w:val="000F09BF"/>
    <w:rsid w:val="001038D9"/>
    <w:rsid w:val="00116F86"/>
    <w:rsid w:val="00125665"/>
    <w:rsid w:val="00174D86"/>
    <w:rsid w:val="00180EA1"/>
    <w:rsid w:val="001A0E09"/>
    <w:rsid w:val="001A1CEA"/>
    <w:rsid w:val="001B093B"/>
    <w:rsid w:val="001B183C"/>
    <w:rsid w:val="001B6745"/>
    <w:rsid w:val="001C4338"/>
    <w:rsid w:val="001C74C5"/>
    <w:rsid w:val="001D2366"/>
    <w:rsid w:val="001F1536"/>
    <w:rsid w:val="00203B6D"/>
    <w:rsid w:val="00205289"/>
    <w:rsid w:val="00213C7B"/>
    <w:rsid w:val="002165F9"/>
    <w:rsid w:val="00224805"/>
    <w:rsid w:val="00245817"/>
    <w:rsid w:val="00262587"/>
    <w:rsid w:val="0027202C"/>
    <w:rsid w:val="0027505F"/>
    <w:rsid w:val="00275691"/>
    <w:rsid w:val="002823ED"/>
    <w:rsid w:val="002B02F1"/>
    <w:rsid w:val="00304FC4"/>
    <w:rsid w:val="003125D1"/>
    <w:rsid w:val="00322231"/>
    <w:rsid w:val="003222EE"/>
    <w:rsid w:val="003253E0"/>
    <w:rsid w:val="0033320D"/>
    <w:rsid w:val="00361C08"/>
    <w:rsid w:val="00364163"/>
    <w:rsid w:val="00384E06"/>
    <w:rsid w:val="0039749A"/>
    <w:rsid w:val="003B0460"/>
    <w:rsid w:val="003B3251"/>
    <w:rsid w:val="003B62CC"/>
    <w:rsid w:val="003D1CA1"/>
    <w:rsid w:val="003F6D64"/>
    <w:rsid w:val="0040530B"/>
    <w:rsid w:val="00405D62"/>
    <w:rsid w:val="00410E69"/>
    <w:rsid w:val="00412821"/>
    <w:rsid w:val="004160D8"/>
    <w:rsid w:val="0043435E"/>
    <w:rsid w:val="0044601C"/>
    <w:rsid w:val="00472CC6"/>
    <w:rsid w:val="00497F83"/>
    <w:rsid w:val="004A08B9"/>
    <w:rsid w:val="004C1F00"/>
    <w:rsid w:val="004E484C"/>
    <w:rsid w:val="004E52BD"/>
    <w:rsid w:val="005006BF"/>
    <w:rsid w:val="005011B8"/>
    <w:rsid w:val="00502AA8"/>
    <w:rsid w:val="005144C6"/>
    <w:rsid w:val="00515013"/>
    <w:rsid w:val="0052419F"/>
    <w:rsid w:val="0052642C"/>
    <w:rsid w:val="00534FD6"/>
    <w:rsid w:val="00541EF4"/>
    <w:rsid w:val="00553C3A"/>
    <w:rsid w:val="005937F6"/>
    <w:rsid w:val="005A40B4"/>
    <w:rsid w:val="005A7B8F"/>
    <w:rsid w:val="005B0861"/>
    <w:rsid w:val="005C6125"/>
    <w:rsid w:val="005E380B"/>
    <w:rsid w:val="005E765D"/>
    <w:rsid w:val="005F47E2"/>
    <w:rsid w:val="005F4F75"/>
    <w:rsid w:val="005F69A7"/>
    <w:rsid w:val="00615EF9"/>
    <w:rsid w:val="00616075"/>
    <w:rsid w:val="0062186D"/>
    <w:rsid w:val="00634DE9"/>
    <w:rsid w:val="00671B0C"/>
    <w:rsid w:val="006A1D94"/>
    <w:rsid w:val="006A4E7E"/>
    <w:rsid w:val="006B6AA7"/>
    <w:rsid w:val="006D7B67"/>
    <w:rsid w:val="00710F9A"/>
    <w:rsid w:val="00713E42"/>
    <w:rsid w:val="007363F2"/>
    <w:rsid w:val="007503AD"/>
    <w:rsid w:val="00752B0E"/>
    <w:rsid w:val="00783186"/>
    <w:rsid w:val="00787975"/>
    <w:rsid w:val="00791D17"/>
    <w:rsid w:val="0079608E"/>
    <w:rsid w:val="007B4FF7"/>
    <w:rsid w:val="007E2135"/>
    <w:rsid w:val="007F0F68"/>
    <w:rsid w:val="0086391A"/>
    <w:rsid w:val="008737F6"/>
    <w:rsid w:val="00873C15"/>
    <w:rsid w:val="00873DF0"/>
    <w:rsid w:val="00893088"/>
    <w:rsid w:val="008A451A"/>
    <w:rsid w:val="008A519D"/>
    <w:rsid w:val="008B57B4"/>
    <w:rsid w:val="008D58C4"/>
    <w:rsid w:val="008E4686"/>
    <w:rsid w:val="00915DEB"/>
    <w:rsid w:val="00920DA6"/>
    <w:rsid w:val="0093690A"/>
    <w:rsid w:val="00944B47"/>
    <w:rsid w:val="009525FF"/>
    <w:rsid w:val="009562EA"/>
    <w:rsid w:val="009601D3"/>
    <w:rsid w:val="00996C30"/>
    <w:rsid w:val="009D404D"/>
    <w:rsid w:val="00A17A4E"/>
    <w:rsid w:val="00A43B42"/>
    <w:rsid w:val="00A47912"/>
    <w:rsid w:val="00A7242A"/>
    <w:rsid w:val="00AC5895"/>
    <w:rsid w:val="00AD6B46"/>
    <w:rsid w:val="00AE651D"/>
    <w:rsid w:val="00AF39E7"/>
    <w:rsid w:val="00B06E78"/>
    <w:rsid w:val="00B209C3"/>
    <w:rsid w:val="00B216AB"/>
    <w:rsid w:val="00B27924"/>
    <w:rsid w:val="00B35206"/>
    <w:rsid w:val="00B40FA9"/>
    <w:rsid w:val="00B46F2C"/>
    <w:rsid w:val="00B508F3"/>
    <w:rsid w:val="00B5516E"/>
    <w:rsid w:val="00BB35B5"/>
    <w:rsid w:val="00BB4DB4"/>
    <w:rsid w:val="00BE25F8"/>
    <w:rsid w:val="00BF4C4A"/>
    <w:rsid w:val="00C17EB4"/>
    <w:rsid w:val="00C51017"/>
    <w:rsid w:val="00C5252E"/>
    <w:rsid w:val="00C535EF"/>
    <w:rsid w:val="00C73B72"/>
    <w:rsid w:val="00C8650E"/>
    <w:rsid w:val="00C87BEE"/>
    <w:rsid w:val="00CA501A"/>
    <w:rsid w:val="00D00CBE"/>
    <w:rsid w:val="00D1770B"/>
    <w:rsid w:val="00D41020"/>
    <w:rsid w:val="00D5458F"/>
    <w:rsid w:val="00D55E25"/>
    <w:rsid w:val="00D607C5"/>
    <w:rsid w:val="00DA6A24"/>
    <w:rsid w:val="00DB5DB8"/>
    <w:rsid w:val="00DC6AE8"/>
    <w:rsid w:val="00DE5EBA"/>
    <w:rsid w:val="00E1152B"/>
    <w:rsid w:val="00E159CA"/>
    <w:rsid w:val="00E16DDA"/>
    <w:rsid w:val="00E25E53"/>
    <w:rsid w:val="00E46535"/>
    <w:rsid w:val="00E51742"/>
    <w:rsid w:val="00E579DB"/>
    <w:rsid w:val="00EB7604"/>
    <w:rsid w:val="00EE0537"/>
    <w:rsid w:val="00EE0705"/>
    <w:rsid w:val="00EE211E"/>
    <w:rsid w:val="00F25AB5"/>
    <w:rsid w:val="00F26242"/>
    <w:rsid w:val="00F27C3F"/>
    <w:rsid w:val="00F40FCE"/>
    <w:rsid w:val="00F456F9"/>
    <w:rsid w:val="00F656CE"/>
    <w:rsid w:val="00F76E65"/>
    <w:rsid w:val="00F8644B"/>
    <w:rsid w:val="00F9342F"/>
    <w:rsid w:val="00F93F93"/>
    <w:rsid w:val="00F95DC4"/>
    <w:rsid w:val="00FB33EC"/>
    <w:rsid w:val="00FB6CD4"/>
    <w:rsid w:val="00FE1D0B"/>
    <w:rsid w:val="00FE7A28"/>
    <w:rsid w:val="00FF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835B"/>
  <w15:docId w15:val="{80F8B046-046A-493C-B273-78311E8A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7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607C5"/>
    <w:rPr>
      <w:color w:val="0000FF"/>
      <w:u w:val="single"/>
    </w:rPr>
  </w:style>
  <w:style w:type="paragraph" w:customStyle="1" w:styleId="a4">
    <w:basedOn w:val="a"/>
    <w:next w:val="a5"/>
    <w:rsid w:val="00D607C5"/>
    <w:pPr>
      <w:widowControl/>
      <w:overflowPunct/>
      <w:autoSpaceDE/>
      <w:autoSpaceDN/>
      <w:adjustRightInd/>
      <w:spacing w:before="100" w:beforeAutospacing="1" w:after="100" w:afterAutospacing="1"/>
      <w:textAlignment w:val="auto"/>
    </w:pPr>
    <w:rPr>
      <w:szCs w:val="24"/>
    </w:rPr>
  </w:style>
  <w:style w:type="paragraph" w:styleId="a6">
    <w:name w:val="List Paragraph"/>
    <w:basedOn w:val="a"/>
    <w:link w:val="a7"/>
    <w:uiPriority w:val="34"/>
    <w:qFormat/>
    <w:rsid w:val="00D607C5"/>
    <w:pPr>
      <w:widowControl/>
      <w:overflowPunct/>
      <w:adjustRightInd/>
      <w:ind w:left="720"/>
      <w:contextualSpacing/>
      <w:textAlignment w:val="auto"/>
    </w:pPr>
    <w:rPr>
      <w:szCs w:val="24"/>
    </w:rPr>
  </w:style>
  <w:style w:type="paragraph" w:styleId="3">
    <w:name w:val="Body Text Indent 3"/>
    <w:basedOn w:val="a"/>
    <w:link w:val="30"/>
    <w:rsid w:val="00D607C5"/>
    <w:pPr>
      <w:spacing w:after="120"/>
      <w:ind w:left="283"/>
    </w:pPr>
    <w:rPr>
      <w:sz w:val="16"/>
      <w:szCs w:val="16"/>
    </w:rPr>
  </w:style>
  <w:style w:type="character" w:customStyle="1" w:styleId="30">
    <w:name w:val="Основной текст с отступом 3 Знак"/>
    <w:basedOn w:val="a0"/>
    <w:link w:val="3"/>
    <w:rsid w:val="00D607C5"/>
    <w:rPr>
      <w:rFonts w:ascii="Times New Roman" w:eastAsia="Times New Roman" w:hAnsi="Times New Roman" w:cs="Times New Roman"/>
      <w:sz w:val="16"/>
      <w:szCs w:val="16"/>
      <w:lang w:eastAsia="ru-RU"/>
    </w:rPr>
  </w:style>
  <w:style w:type="paragraph" w:styleId="a5">
    <w:name w:val="Normal (Web)"/>
    <w:basedOn w:val="a"/>
    <w:unhideWhenUsed/>
    <w:rsid w:val="00D607C5"/>
    <w:rPr>
      <w:szCs w:val="24"/>
    </w:rPr>
  </w:style>
  <w:style w:type="character" w:customStyle="1" w:styleId="a7">
    <w:name w:val="Абзац списка Знак"/>
    <w:basedOn w:val="a0"/>
    <w:link w:val="a6"/>
    <w:uiPriority w:val="34"/>
    <w:locked/>
    <w:rsid w:val="004A08B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0D8"/>
    <w:rPr>
      <w:rFonts w:ascii="Tahoma" w:hAnsi="Tahoma" w:cs="Tahoma"/>
      <w:sz w:val="16"/>
      <w:szCs w:val="16"/>
    </w:rPr>
  </w:style>
  <w:style w:type="character" w:customStyle="1" w:styleId="a9">
    <w:name w:val="Текст выноски Знак"/>
    <w:basedOn w:val="a0"/>
    <w:link w:val="a8"/>
    <w:uiPriority w:val="99"/>
    <w:semiHidden/>
    <w:rsid w:val="004160D8"/>
    <w:rPr>
      <w:rFonts w:ascii="Tahoma" w:eastAsia="Times New Roman" w:hAnsi="Tahoma" w:cs="Tahoma"/>
      <w:sz w:val="16"/>
      <w:szCs w:val="16"/>
      <w:lang w:eastAsia="ru-RU"/>
    </w:rPr>
  </w:style>
  <w:style w:type="character" w:customStyle="1" w:styleId="1">
    <w:name w:val="Неразрешенное упоминание1"/>
    <w:basedOn w:val="a0"/>
    <w:uiPriority w:val="99"/>
    <w:semiHidden/>
    <w:unhideWhenUsed/>
    <w:rsid w:val="00CA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05638">
      <w:bodyDiv w:val="1"/>
      <w:marLeft w:val="0"/>
      <w:marRight w:val="0"/>
      <w:marTop w:val="0"/>
      <w:marBottom w:val="0"/>
      <w:divBdr>
        <w:top w:val="none" w:sz="0" w:space="0" w:color="auto"/>
        <w:left w:val="none" w:sz="0" w:space="0" w:color="auto"/>
        <w:bottom w:val="none" w:sz="0" w:space="0" w:color="auto"/>
        <w:right w:val="none" w:sz="0" w:space="0" w:color="auto"/>
      </w:divBdr>
    </w:div>
    <w:div w:id="2141454826">
      <w:bodyDiv w:val="1"/>
      <w:marLeft w:val="0"/>
      <w:marRight w:val="0"/>
      <w:marTop w:val="0"/>
      <w:marBottom w:val="0"/>
      <w:divBdr>
        <w:top w:val="none" w:sz="0" w:space="0" w:color="auto"/>
        <w:left w:val="none" w:sz="0" w:space="0" w:color="auto"/>
        <w:bottom w:val="none" w:sz="0" w:space="0" w:color="auto"/>
        <w:right w:val="none" w:sz="0" w:space="0" w:color="auto"/>
      </w:divBdr>
      <w:divsChild>
        <w:div w:id="1116682553">
          <w:marLeft w:val="0"/>
          <w:marRight w:val="75"/>
          <w:marTop w:val="0"/>
          <w:marBottom w:val="150"/>
          <w:divBdr>
            <w:top w:val="single" w:sz="6" w:space="4" w:color="9BBBCD"/>
            <w:left w:val="single" w:sz="6" w:space="4" w:color="9BBBCD"/>
            <w:bottom w:val="single" w:sz="6" w:space="4" w:color="9BBBCD"/>
            <w:right w:val="single" w:sz="6" w:space="4" w:color="9BBBCD"/>
          </w:divBdr>
        </w:div>
        <w:div w:id="1188641943">
          <w:marLeft w:val="0"/>
          <w:marRight w:val="75"/>
          <w:marTop w:val="0"/>
          <w:marBottom w:val="150"/>
          <w:divBdr>
            <w:top w:val="single" w:sz="6" w:space="4" w:color="9BBBCD"/>
            <w:left w:val="single" w:sz="6" w:space="4" w:color="9BBBCD"/>
            <w:bottom w:val="single" w:sz="6" w:space="4" w:color="9BBBCD"/>
            <w:right w:val="single" w:sz="6" w:space="4" w:color="9BBBC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Земляных</dc:creator>
  <cp:lastModifiedBy>Тимофей М.</cp:lastModifiedBy>
  <cp:revision>2</cp:revision>
  <dcterms:created xsi:type="dcterms:W3CDTF">2020-01-30T15:16:00Z</dcterms:created>
  <dcterms:modified xsi:type="dcterms:W3CDTF">2020-01-30T15:16:00Z</dcterms:modified>
</cp:coreProperties>
</file>